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3CD3C">
      <w:pPr>
        <w:pStyle w:val="13"/>
        <w:numPr>
          <w:ilvl w:val="0"/>
          <w:numId w:val="0"/>
        </w:numPr>
        <w:jc w:val="left"/>
        <w:rPr>
          <w:rFonts w:hint="eastAsia" w:ascii="Times New Roman" w:hAnsi="Times New Roman" w:eastAsia="黑体"/>
          <w:sz w:val="36"/>
          <w:szCs w:val="24"/>
        </w:rPr>
      </w:pPr>
    </w:p>
    <w:p w14:paraId="0CB976D9">
      <w:pPr>
        <w:pStyle w:val="13"/>
        <w:numPr>
          <w:ilvl w:val="0"/>
          <w:numId w:val="0"/>
        </w:numPr>
        <w:jc w:val="left"/>
        <w:rPr>
          <w:rFonts w:hint="eastAsia" w:ascii="Times New Roman" w:hAnsi="Times New Roman" w:eastAsia="黑体"/>
          <w:sz w:val="36"/>
          <w:szCs w:val="24"/>
        </w:rPr>
      </w:pPr>
    </w:p>
    <w:p w14:paraId="6220C6C1">
      <w:pPr>
        <w:spacing w:line="840" w:lineRule="exact"/>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昌都市丁青县</w:t>
      </w:r>
      <w:r>
        <w:rPr>
          <w:rFonts w:hint="eastAsia" w:ascii="方正小标宋简体" w:hAnsi="方正小标宋简体" w:eastAsia="方正小标宋简体" w:cs="方正小标宋简体"/>
          <w:sz w:val="44"/>
          <w:szCs w:val="52"/>
        </w:rPr>
        <w:t>“十五五”</w:t>
      </w:r>
      <w:r>
        <w:rPr>
          <w:rFonts w:hint="eastAsia" w:ascii="方正小标宋简体" w:hAnsi="方正小标宋简体" w:eastAsia="方正小标宋简体" w:cs="方正小标宋简体"/>
          <w:sz w:val="44"/>
          <w:szCs w:val="52"/>
          <w:lang w:val="en-US" w:eastAsia="zh-CN"/>
        </w:rPr>
        <w:t>生态环境保护</w:t>
      </w:r>
      <w:r>
        <w:rPr>
          <w:rFonts w:hint="eastAsia" w:ascii="方正小标宋简体" w:hAnsi="方正小标宋简体" w:eastAsia="方正小标宋简体" w:cs="方正小标宋简体"/>
          <w:sz w:val="44"/>
          <w:szCs w:val="52"/>
        </w:rPr>
        <w:t>规划</w:t>
      </w:r>
    </w:p>
    <w:p w14:paraId="0C2DEAC1">
      <w:pPr>
        <w:spacing w:line="840" w:lineRule="exact"/>
        <w:jc w:val="center"/>
        <w:rPr>
          <w:rFonts w:hint="eastAsia" w:ascii="方正小标宋简体" w:hAnsi="方正小标宋简体" w:eastAsia="方正小标宋简体" w:cs="方正小标宋简体"/>
          <w:sz w:val="44"/>
          <w:szCs w:val="52"/>
        </w:rPr>
      </w:pPr>
    </w:p>
    <w:p w14:paraId="50DC6DA1">
      <w:pPr>
        <w:spacing w:line="840" w:lineRule="exact"/>
        <w:jc w:val="center"/>
        <w:rPr>
          <w:rFonts w:hint="eastAsia" w:ascii="方正楷体_GB2312" w:hAnsi="方正楷体_GB2312" w:eastAsia="方正楷体_GB2312" w:cs="方正楷体_GB2312"/>
          <w:sz w:val="36"/>
          <w:szCs w:val="44"/>
        </w:rPr>
      </w:pPr>
      <w:r>
        <w:rPr>
          <w:rFonts w:hint="eastAsia" w:ascii="方正楷体_GB2312" w:hAnsi="方正楷体_GB2312" w:eastAsia="方正楷体_GB2312" w:cs="方正楷体_GB2312"/>
          <w:sz w:val="36"/>
          <w:szCs w:val="44"/>
        </w:rPr>
        <w:t>（</w:t>
      </w:r>
      <w:r>
        <w:rPr>
          <w:rFonts w:hint="eastAsia" w:ascii="方正楷体_GB2312" w:hAnsi="方正楷体_GB2312" w:eastAsia="方正楷体_GB2312" w:cs="方正楷体_GB2312"/>
          <w:sz w:val="36"/>
          <w:szCs w:val="44"/>
          <w:lang w:val="en-US" w:eastAsia="zh-CN"/>
        </w:rPr>
        <w:t>初稿</w:t>
      </w:r>
      <w:r>
        <w:rPr>
          <w:rFonts w:hint="eastAsia" w:ascii="方正楷体_GB2312" w:hAnsi="方正楷体_GB2312" w:eastAsia="方正楷体_GB2312" w:cs="方正楷体_GB2312"/>
          <w:sz w:val="36"/>
          <w:szCs w:val="44"/>
        </w:rPr>
        <w:t>）</w:t>
      </w:r>
      <w:bookmarkStart w:id="177" w:name="_GoBack"/>
      <w:bookmarkEnd w:id="177"/>
    </w:p>
    <w:p w14:paraId="38C925D5">
      <w:pPr>
        <w:spacing w:line="840" w:lineRule="exact"/>
        <w:jc w:val="center"/>
        <w:rPr>
          <w:rFonts w:hint="eastAsia" w:ascii="方正小标宋简体" w:hAnsi="方正小标宋简体" w:eastAsia="方正小标宋简体" w:cs="方正小标宋简体"/>
          <w:sz w:val="36"/>
          <w:szCs w:val="44"/>
        </w:rPr>
      </w:pPr>
    </w:p>
    <w:p w14:paraId="3783462F">
      <w:pPr>
        <w:spacing w:line="840" w:lineRule="exact"/>
        <w:jc w:val="center"/>
        <w:rPr>
          <w:rFonts w:hint="eastAsia" w:ascii="方正小标宋简体" w:hAnsi="方正小标宋简体" w:eastAsia="方正小标宋简体" w:cs="方正小标宋简体"/>
          <w:sz w:val="36"/>
          <w:szCs w:val="44"/>
        </w:rPr>
      </w:pPr>
    </w:p>
    <w:p w14:paraId="01D4BACF">
      <w:pPr>
        <w:spacing w:line="840" w:lineRule="exact"/>
        <w:jc w:val="center"/>
        <w:rPr>
          <w:rFonts w:hint="eastAsia" w:ascii="方正小标宋简体" w:hAnsi="方正小标宋简体" w:eastAsia="方正小标宋简体" w:cs="方正小标宋简体"/>
          <w:sz w:val="36"/>
          <w:szCs w:val="44"/>
        </w:rPr>
      </w:pPr>
    </w:p>
    <w:p w14:paraId="3103E453">
      <w:pPr>
        <w:spacing w:line="840" w:lineRule="exact"/>
        <w:jc w:val="center"/>
        <w:rPr>
          <w:rFonts w:hint="eastAsia" w:ascii="方正小标宋简体" w:hAnsi="方正小标宋简体" w:eastAsia="方正小标宋简体" w:cs="方正小标宋简体"/>
          <w:sz w:val="36"/>
          <w:szCs w:val="44"/>
        </w:rPr>
      </w:pPr>
    </w:p>
    <w:p w14:paraId="363B68AB">
      <w:pPr>
        <w:spacing w:line="840" w:lineRule="exact"/>
        <w:jc w:val="center"/>
        <w:rPr>
          <w:rFonts w:hint="eastAsia" w:ascii="方正小标宋简体" w:hAnsi="方正小标宋简体" w:eastAsia="方正小标宋简体" w:cs="方正小标宋简体"/>
          <w:sz w:val="36"/>
          <w:szCs w:val="44"/>
        </w:rPr>
      </w:pPr>
    </w:p>
    <w:p w14:paraId="59C8B753">
      <w:pPr>
        <w:spacing w:line="840" w:lineRule="exact"/>
        <w:jc w:val="center"/>
        <w:rPr>
          <w:rFonts w:hint="eastAsia" w:ascii="方正小标宋简体" w:hAnsi="方正小标宋简体" w:eastAsia="方正小标宋简体" w:cs="方正小标宋简体"/>
          <w:sz w:val="36"/>
          <w:szCs w:val="44"/>
        </w:rPr>
      </w:pPr>
    </w:p>
    <w:p w14:paraId="32DB3799">
      <w:pPr>
        <w:spacing w:line="840" w:lineRule="exact"/>
        <w:jc w:val="center"/>
        <w:rPr>
          <w:rFonts w:hint="eastAsia" w:ascii="方正小标宋简体" w:hAnsi="方正小标宋简体" w:eastAsia="方正小标宋简体" w:cs="方正小标宋简体"/>
          <w:sz w:val="36"/>
          <w:szCs w:val="44"/>
        </w:rPr>
      </w:pPr>
    </w:p>
    <w:p w14:paraId="504F294D">
      <w:pPr>
        <w:tabs>
          <w:tab w:val="center" w:pos="4422"/>
          <w:tab w:val="left" w:pos="6373"/>
        </w:tabs>
        <w:jc w:val="center"/>
        <w:rPr>
          <w:rFonts w:hint="eastAsia" w:ascii="Times New Roman" w:hAnsi="Times New Roman" w:eastAsia="方正楷体_GBK" w:cs="Times New Roman"/>
          <w:sz w:val="40"/>
          <w:szCs w:val="44"/>
          <w:lang w:val="en-US" w:eastAsia="zh-CN"/>
        </w:rPr>
      </w:pPr>
    </w:p>
    <w:p w14:paraId="4F4CDF94">
      <w:pPr>
        <w:tabs>
          <w:tab w:val="center" w:pos="4422"/>
          <w:tab w:val="left" w:pos="6373"/>
        </w:tabs>
        <w:jc w:val="center"/>
        <w:rPr>
          <w:rFonts w:hint="eastAsia" w:ascii="Times New Roman" w:hAnsi="Times New Roman" w:eastAsia="方正楷体_GBK" w:cs="Times New Roman"/>
          <w:sz w:val="40"/>
          <w:szCs w:val="44"/>
          <w:lang w:val="en-US" w:eastAsia="zh-CN"/>
        </w:rPr>
      </w:pPr>
    </w:p>
    <w:p w14:paraId="58CD7CE9">
      <w:pPr>
        <w:tabs>
          <w:tab w:val="center" w:pos="4422"/>
          <w:tab w:val="left" w:pos="6373"/>
        </w:tabs>
        <w:jc w:val="center"/>
        <w:rPr>
          <w:rFonts w:hint="default" w:ascii="Times New Roman" w:hAnsi="Times New Roman" w:eastAsia="方正楷体_GBK"/>
          <w:sz w:val="36"/>
          <w:szCs w:val="40"/>
          <w:lang w:val="en-US" w:eastAsia="zh-CN"/>
        </w:rPr>
      </w:pPr>
      <w:r>
        <w:rPr>
          <w:rFonts w:hint="eastAsia" w:ascii="Times New Roman" w:hAnsi="Times New Roman" w:eastAsia="方正楷体_GBK"/>
          <w:sz w:val="36"/>
          <w:szCs w:val="40"/>
          <w:lang w:val="en-US" w:eastAsia="zh-CN"/>
        </w:rPr>
        <w:t>昌都市丁青县人民政府</w:t>
      </w:r>
    </w:p>
    <w:p w14:paraId="75FD5C4E">
      <w:pPr>
        <w:tabs>
          <w:tab w:val="center" w:pos="4422"/>
          <w:tab w:val="left" w:pos="6373"/>
        </w:tabs>
        <w:jc w:val="left"/>
        <w:rPr>
          <w:rFonts w:hint="eastAsia" w:ascii="Times New Roman" w:hAnsi="Times New Roman" w:eastAsia="方正楷体_GBK"/>
          <w:sz w:val="32"/>
          <w:lang w:eastAsia="zh-CN"/>
        </w:rPr>
        <w:sectPr>
          <w:footerReference r:id="rId5" w:type="first"/>
          <w:footerReference r:id="rId4" w:type="even"/>
          <w:pgSz w:w="11906" w:h="16838"/>
          <w:pgMar w:top="2098" w:right="1474" w:bottom="1984" w:left="1587" w:header="851" w:footer="992" w:gutter="0"/>
          <w:cols w:space="720" w:num="1"/>
          <w:docGrid w:type="lines" w:linePitch="312" w:charSpace="0"/>
        </w:sectPr>
      </w:pPr>
      <w:r>
        <w:rPr>
          <w:rFonts w:hint="eastAsia" w:ascii="Times New Roman" w:hAnsi="Times New Roman" w:eastAsia="方正楷体_GBK"/>
          <w:sz w:val="36"/>
          <w:szCs w:val="40"/>
          <w:lang w:eastAsia="zh-CN"/>
        </w:rPr>
        <w:tab/>
      </w:r>
      <w:r>
        <w:rPr>
          <w:rFonts w:ascii="Times New Roman" w:hAnsi="Times New Roman" w:eastAsia="方正楷体_GBK"/>
          <w:sz w:val="36"/>
          <w:szCs w:val="40"/>
        </w:rPr>
        <w:t>二〇二</w:t>
      </w:r>
      <w:r>
        <w:rPr>
          <w:rFonts w:hint="eastAsia" w:ascii="Times New Roman" w:hAnsi="Times New Roman" w:eastAsia="方正楷体_GBK"/>
          <w:sz w:val="36"/>
          <w:szCs w:val="40"/>
          <w:lang w:val="en-US" w:eastAsia="zh-CN"/>
        </w:rPr>
        <w:t>六</w:t>
      </w:r>
      <w:r>
        <w:rPr>
          <w:rFonts w:ascii="Times New Roman" w:hAnsi="Times New Roman" w:eastAsia="方正楷体_GBK"/>
          <w:sz w:val="36"/>
          <w:szCs w:val="40"/>
        </w:rPr>
        <w:t>年</w:t>
      </w:r>
      <w:r>
        <w:rPr>
          <w:rFonts w:hint="eastAsia" w:ascii="Times New Roman" w:hAnsi="Times New Roman" w:eastAsia="方正楷体_GBK"/>
          <w:sz w:val="36"/>
          <w:szCs w:val="40"/>
          <w:lang w:val="en-US" w:eastAsia="zh-CN"/>
        </w:rPr>
        <w:t>六</w:t>
      </w:r>
      <w:r>
        <w:rPr>
          <w:rFonts w:ascii="Times New Roman" w:hAnsi="Times New Roman" w:eastAsia="方正楷体_GBK"/>
          <w:sz w:val="36"/>
          <w:szCs w:val="40"/>
        </w:rPr>
        <w:t>月</w:t>
      </w:r>
      <w:r>
        <w:rPr>
          <w:rFonts w:hint="eastAsia" w:ascii="Times New Roman" w:hAnsi="Times New Roman" w:eastAsia="方正楷体_GBK"/>
          <w:sz w:val="40"/>
          <w:szCs w:val="44"/>
          <w:lang w:eastAsia="zh-CN"/>
        </w:rPr>
        <w:tab/>
      </w:r>
    </w:p>
    <w:p w14:paraId="4262285A">
      <w:pPr>
        <w:pStyle w:val="14"/>
        <w:keepNext/>
        <w:keepLines/>
        <w:pageBreakBefore w:val="0"/>
        <w:widowControl/>
        <w:kinsoku/>
        <w:wordWrap/>
        <w:overflowPunct/>
        <w:topLinePunct w:val="0"/>
        <w:autoSpaceDE/>
        <w:autoSpaceDN/>
        <w:bidi w:val="0"/>
        <w:adjustRightInd/>
        <w:snapToGrid/>
        <w:spacing w:before="0" w:after="0" w:line="400" w:lineRule="exact"/>
        <w:ind w:firstLine="640" w:firstLineChars="200"/>
        <w:jc w:val="center"/>
        <w:textAlignment w:val="auto"/>
        <w:rPr>
          <w:rFonts w:hint="default" w:ascii="Times New Roman" w:hAnsi="Times New Roman" w:eastAsia="等线 Light" w:cs="Times New Roman"/>
          <w:b w:val="0"/>
          <w:bCs/>
          <w:color w:val="2F5496"/>
          <w:kern w:val="0"/>
          <w:sz w:val="22"/>
          <w:szCs w:val="22"/>
          <w:lang w:val="zh-CN" w:eastAsia="zh-CN" w:bidi="ar-SA"/>
        </w:rPr>
      </w:pPr>
      <w:r>
        <w:rPr>
          <w:rFonts w:hint="default" w:ascii="Times New Roman" w:hAnsi="Times New Roman" w:eastAsia="黑体" w:cs="Times New Roman"/>
          <w:color w:val="auto"/>
          <w:sz w:val="32"/>
          <w:szCs w:val="40"/>
          <w:lang w:val="zh-CN"/>
        </w:rPr>
        <w:t>目</w:t>
      </w:r>
      <w:r>
        <w:rPr>
          <w:rFonts w:hint="eastAsia" w:ascii="Times New Roman" w:hAnsi="Times New Roman" w:eastAsia="黑体" w:cs="Times New Roman"/>
          <w:color w:val="auto"/>
          <w:sz w:val="32"/>
          <w:szCs w:val="40"/>
          <w:lang w:val="en-US" w:eastAsia="zh-CN"/>
        </w:rPr>
        <w:t xml:space="preserve"> </w:t>
      </w:r>
      <w:r>
        <w:rPr>
          <w:rFonts w:hint="default" w:ascii="Times New Roman" w:hAnsi="Times New Roman" w:eastAsia="黑体" w:cs="Times New Roman"/>
          <w:color w:val="auto"/>
          <w:sz w:val="32"/>
          <w:szCs w:val="40"/>
          <w:lang w:val="zh-CN"/>
        </w:rPr>
        <w:t>录</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TOC \o "1-3" \h \z \u </w:instrText>
      </w:r>
      <w:r>
        <w:rPr>
          <w:rFonts w:hint="default" w:ascii="Times New Roman" w:hAnsi="Times New Roman" w:cs="Times New Roman"/>
          <w:sz w:val="22"/>
          <w:szCs w:val="22"/>
        </w:rPr>
        <w:fldChar w:fldCharType="separate"/>
      </w:r>
    </w:p>
    <w:p w14:paraId="0DF3A590">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_Toc21622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rPr>
        <w:t xml:space="preserve">第一章 </w:t>
      </w:r>
      <w:r>
        <w:rPr>
          <w:rFonts w:hint="eastAsia" w:ascii="Times New Roman" w:hAnsi="Times New Roman" w:eastAsia="方正小标宋简体" w:cs="方正小标宋简体"/>
          <w:sz w:val="32"/>
          <w:szCs w:val="32"/>
          <w:lang w:val="en-US" w:eastAsia="zh-CN"/>
        </w:rPr>
        <w:t>基础与形势</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_Toc21622 \h </w:instrText>
      </w:r>
      <w:r>
        <w:rPr>
          <w:rFonts w:ascii="Times New Roman" w:hAnsi="Times New Roman"/>
          <w:sz w:val="32"/>
          <w:szCs w:val="32"/>
        </w:rPr>
        <w:fldChar w:fldCharType="separate"/>
      </w:r>
      <w:r>
        <w:rPr>
          <w:rFonts w:ascii="Times New Roman" w:hAnsi="Times New Roman"/>
          <w:sz w:val="32"/>
          <w:szCs w:val="32"/>
        </w:rPr>
        <w:t>- 1 -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5B6B3EE">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_Toc18470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lang w:val="en-US" w:eastAsia="zh-CN" w:bidi="ar-SA"/>
        </w:rPr>
        <w:t>一、</w:t>
      </w:r>
      <w:r>
        <w:rPr>
          <w:rFonts w:hint="eastAsia" w:ascii="Times New Roman" w:hAnsi="Times New Roman" w:eastAsia="黑体" w:cs="黑体"/>
          <w:bCs w:val="0"/>
          <w:sz w:val="32"/>
          <w:szCs w:val="32"/>
          <w:highlight w:val="none"/>
          <w:lang w:val="en-US" w:eastAsia="zh-CN" w:bidi="ar-SA"/>
        </w:rPr>
        <w:t>美丽丁青建设基础扎实</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_Toc18470 \h </w:instrText>
      </w:r>
      <w:r>
        <w:rPr>
          <w:rFonts w:ascii="Times New Roman" w:hAnsi="Times New Roman"/>
          <w:sz w:val="32"/>
          <w:szCs w:val="32"/>
        </w:rPr>
        <w:fldChar w:fldCharType="separate"/>
      </w:r>
      <w:r>
        <w:rPr>
          <w:rFonts w:ascii="Times New Roman" w:hAnsi="Times New Roman"/>
          <w:sz w:val="32"/>
          <w:szCs w:val="32"/>
        </w:rPr>
        <w:t>- 1 -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687D8C0">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_Toc859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二、美丽丁青建设迎来重要机遇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_Toc859 \h </w:instrText>
      </w:r>
      <w:r>
        <w:rPr>
          <w:rFonts w:ascii="Times New Roman" w:hAnsi="Times New Roman"/>
          <w:sz w:val="32"/>
          <w:szCs w:val="32"/>
        </w:rPr>
        <w:fldChar w:fldCharType="separate"/>
      </w:r>
      <w:r>
        <w:rPr>
          <w:rFonts w:ascii="Times New Roman" w:hAnsi="Times New Roman"/>
          <w:sz w:val="32"/>
          <w:szCs w:val="32"/>
        </w:rPr>
        <w:t>- 5 -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209EBD0">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_Toc17308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三、美丽丁青建设仍需久久为功</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_Toc17308 \h </w:instrText>
      </w:r>
      <w:r>
        <w:rPr>
          <w:rFonts w:ascii="Times New Roman" w:hAnsi="Times New Roman"/>
          <w:sz w:val="32"/>
          <w:szCs w:val="32"/>
        </w:rPr>
        <w:fldChar w:fldCharType="separate"/>
      </w:r>
      <w:r>
        <w:rPr>
          <w:rFonts w:ascii="Times New Roman" w:hAnsi="Times New Roman"/>
          <w:sz w:val="32"/>
          <w:szCs w:val="32"/>
        </w:rPr>
        <w:t>- 8 -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F47FE84">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_Toc20267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第二章 指导思想、基本原则和主要目标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_Toc20267 \h </w:instrText>
      </w:r>
      <w:r>
        <w:rPr>
          <w:rFonts w:ascii="Times New Roman" w:hAnsi="Times New Roman"/>
          <w:sz w:val="32"/>
          <w:szCs w:val="32"/>
        </w:rPr>
        <w:fldChar w:fldCharType="separate"/>
      </w:r>
      <w:r>
        <w:rPr>
          <w:rFonts w:ascii="Times New Roman" w:hAnsi="Times New Roman"/>
          <w:sz w:val="32"/>
          <w:szCs w:val="32"/>
        </w:rPr>
        <w:t>- 10 -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C9BCF80">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_Toc8634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一、指导思想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_Toc8634 \h </w:instrText>
      </w:r>
      <w:r>
        <w:rPr>
          <w:rFonts w:ascii="Times New Roman" w:hAnsi="Times New Roman"/>
          <w:sz w:val="32"/>
          <w:szCs w:val="32"/>
        </w:rPr>
        <w:fldChar w:fldCharType="separate"/>
      </w:r>
      <w:r>
        <w:rPr>
          <w:rFonts w:ascii="Times New Roman" w:hAnsi="Times New Roman"/>
          <w:sz w:val="32"/>
          <w:szCs w:val="32"/>
        </w:rPr>
        <w:t>- 10 -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D9BB8C6">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_Toc31685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二、基本原则</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_Toc31685 \h </w:instrText>
      </w:r>
      <w:r>
        <w:rPr>
          <w:rFonts w:ascii="Times New Roman" w:hAnsi="Times New Roman"/>
          <w:sz w:val="32"/>
          <w:szCs w:val="32"/>
        </w:rPr>
        <w:fldChar w:fldCharType="separate"/>
      </w:r>
      <w:r>
        <w:rPr>
          <w:rFonts w:ascii="Times New Roman" w:hAnsi="Times New Roman"/>
          <w:sz w:val="32"/>
          <w:szCs w:val="32"/>
        </w:rPr>
        <w:t>- 11 -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F4823E4">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_Toc9263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三、主要目标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_Toc9263 \h </w:instrText>
      </w:r>
      <w:r>
        <w:rPr>
          <w:rFonts w:ascii="Times New Roman" w:hAnsi="Times New Roman"/>
          <w:sz w:val="32"/>
          <w:szCs w:val="32"/>
        </w:rPr>
        <w:fldChar w:fldCharType="separate"/>
      </w:r>
      <w:r>
        <w:rPr>
          <w:rFonts w:ascii="Times New Roman" w:hAnsi="Times New Roman"/>
          <w:sz w:val="32"/>
          <w:szCs w:val="32"/>
        </w:rPr>
        <w:t>- 12 -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416DC1F">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_Toc17473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第三章 筑牢藏东生态安全屏障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_Toc17473 \h </w:instrText>
      </w:r>
      <w:r>
        <w:rPr>
          <w:rFonts w:ascii="Times New Roman" w:hAnsi="Times New Roman"/>
          <w:sz w:val="32"/>
          <w:szCs w:val="32"/>
        </w:rPr>
        <w:fldChar w:fldCharType="separate"/>
      </w:r>
      <w:r>
        <w:rPr>
          <w:rFonts w:ascii="Times New Roman" w:hAnsi="Times New Roman"/>
          <w:sz w:val="32"/>
          <w:szCs w:val="32"/>
        </w:rPr>
        <w:t>- 14 -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AB08D03">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_Toc8521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一、加强重要生态功能区保护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_Toc8521 \h </w:instrText>
      </w:r>
      <w:r>
        <w:rPr>
          <w:rFonts w:ascii="Times New Roman" w:hAnsi="Times New Roman"/>
          <w:sz w:val="32"/>
          <w:szCs w:val="32"/>
        </w:rPr>
        <w:fldChar w:fldCharType="separate"/>
      </w:r>
      <w:r>
        <w:rPr>
          <w:rFonts w:ascii="Times New Roman" w:hAnsi="Times New Roman"/>
          <w:sz w:val="32"/>
          <w:szCs w:val="32"/>
        </w:rPr>
        <w:t>- 14 -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F698B56">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_Toc30438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（一）强化</w:t>
      </w:r>
      <w:r>
        <w:rPr>
          <w:rFonts w:hint="eastAsia" w:ascii="Times New Roman" w:hAnsi="Times New Roman" w:eastAsia="楷体" w:cs="楷体"/>
          <w:sz w:val="32"/>
          <w:szCs w:val="32"/>
          <w:highlight w:val="none"/>
          <w:lang w:val="en-US" w:eastAsia="zh-CN"/>
        </w:rPr>
        <w:t>国家重点生态功能区管控</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_Toc30438 \h </w:instrText>
      </w:r>
      <w:r>
        <w:rPr>
          <w:rFonts w:ascii="Times New Roman" w:hAnsi="Times New Roman"/>
          <w:sz w:val="32"/>
          <w:szCs w:val="32"/>
        </w:rPr>
        <w:fldChar w:fldCharType="separate"/>
      </w:r>
      <w:r>
        <w:rPr>
          <w:rFonts w:ascii="Times New Roman" w:hAnsi="Times New Roman"/>
          <w:sz w:val="32"/>
          <w:szCs w:val="32"/>
        </w:rPr>
        <w:t>- 14 -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5F54B5B">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_Toc672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（二）全力筑牢生态安全格局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_Toc672 \h </w:instrText>
      </w:r>
      <w:r>
        <w:rPr>
          <w:rFonts w:ascii="Times New Roman" w:hAnsi="Times New Roman"/>
          <w:sz w:val="32"/>
          <w:szCs w:val="32"/>
        </w:rPr>
        <w:fldChar w:fldCharType="separate"/>
      </w:r>
      <w:r>
        <w:rPr>
          <w:rFonts w:ascii="Times New Roman" w:hAnsi="Times New Roman"/>
          <w:sz w:val="32"/>
          <w:szCs w:val="32"/>
        </w:rPr>
        <w:t>- 15 -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C5477FC">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_Toc431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（三）强化自然保护地监管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_Toc431 \h </w:instrText>
      </w:r>
      <w:r>
        <w:rPr>
          <w:rFonts w:ascii="Times New Roman" w:hAnsi="Times New Roman"/>
          <w:sz w:val="32"/>
          <w:szCs w:val="32"/>
        </w:rPr>
        <w:fldChar w:fldCharType="separate"/>
      </w:r>
      <w:r>
        <w:rPr>
          <w:rFonts w:ascii="Times New Roman" w:hAnsi="Times New Roman"/>
          <w:sz w:val="32"/>
          <w:szCs w:val="32"/>
        </w:rPr>
        <w:t>- 15 -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C12B717">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_Toc1534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二、强化生态系统保护修复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_Toc1534 \h </w:instrText>
      </w:r>
      <w:r>
        <w:rPr>
          <w:rFonts w:ascii="Times New Roman" w:hAnsi="Times New Roman"/>
          <w:sz w:val="32"/>
          <w:szCs w:val="32"/>
        </w:rPr>
        <w:fldChar w:fldCharType="separate"/>
      </w:r>
      <w:r>
        <w:rPr>
          <w:rFonts w:ascii="Times New Roman" w:hAnsi="Times New Roman"/>
          <w:sz w:val="32"/>
          <w:szCs w:val="32"/>
        </w:rPr>
        <w:t>- 16 -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F79BD0C">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_Toc31758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一</w:t>
      </w:r>
      <w:r>
        <w:rPr>
          <w:rFonts w:hint="eastAsia" w:ascii="Times New Roman" w:hAnsi="Times New Roman" w:eastAsia="楷体" w:cs="楷体"/>
          <w:sz w:val="32"/>
          <w:szCs w:val="32"/>
          <w:lang w:val="en" w:eastAsia="zh-CN"/>
        </w:rPr>
        <w:t>）加强</w:t>
      </w:r>
      <w:r>
        <w:rPr>
          <w:rFonts w:hint="eastAsia" w:ascii="Times New Roman" w:hAnsi="Times New Roman" w:eastAsia="楷体" w:cs="楷体"/>
          <w:sz w:val="32"/>
          <w:szCs w:val="32"/>
          <w:lang w:val="en-US" w:eastAsia="zh-CN"/>
        </w:rPr>
        <w:t>林业</w:t>
      </w:r>
      <w:r>
        <w:rPr>
          <w:rFonts w:hint="eastAsia" w:ascii="Times New Roman" w:hAnsi="Times New Roman" w:eastAsia="楷体" w:cs="楷体"/>
          <w:sz w:val="32"/>
          <w:szCs w:val="32"/>
          <w:lang w:val="en" w:eastAsia="zh-CN"/>
        </w:rPr>
        <w:t>生态系</w:t>
      </w:r>
      <w:r>
        <w:rPr>
          <w:rFonts w:hint="eastAsia" w:ascii="Times New Roman" w:hAnsi="Times New Roman" w:eastAsia="楷体" w:cs="楷体"/>
          <w:sz w:val="32"/>
          <w:szCs w:val="32"/>
          <w:lang w:val="en-US" w:eastAsia="zh-CN"/>
        </w:rPr>
        <w:t>统保护修复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_Toc31758 \h </w:instrText>
      </w:r>
      <w:r>
        <w:rPr>
          <w:rFonts w:ascii="Times New Roman" w:hAnsi="Times New Roman"/>
          <w:sz w:val="32"/>
          <w:szCs w:val="32"/>
        </w:rPr>
        <w:fldChar w:fldCharType="separate"/>
      </w:r>
      <w:r>
        <w:rPr>
          <w:rFonts w:ascii="Times New Roman" w:hAnsi="Times New Roman"/>
          <w:sz w:val="32"/>
          <w:szCs w:val="32"/>
        </w:rPr>
        <w:t>- 16 -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610D6F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_Toc14994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w:t>
      </w:r>
      <w:r>
        <w:rPr>
          <w:rFonts w:hint="eastAsia" w:ascii="Times New Roman" w:hAnsi="Times New Roman" w:eastAsia="楷体" w:cs="楷体"/>
          <w:sz w:val="32"/>
          <w:szCs w:val="32"/>
          <w:lang w:val="en" w:eastAsia="zh-CN"/>
        </w:rPr>
        <w:t>）加强</w:t>
      </w:r>
      <w:r>
        <w:rPr>
          <w:rFonts w:hint="eastAsia" w:ascii="Times New Roman" w:hAnsi="Times New Roman" w:eastAsia="楷体" w:cs="楷体"/>
          <w:sz w:val="32"/>
          <w:szCs w:val="32"/>
          <w:lang w:val="en-US" w:eastAsia="zh-CN"/>
        </w:rPr>
        <w:t>草原</w:t>
      </w:r>
      <w:r>
        <w:rPr>
          <w:rFonts w:hint="eastAsia" w:ascii="Times New Roman" w:hAnsi="Times New Roman" w:eastAsia="楷体" w:cs="楷体"/>
          <w:sz w:val="32"/>
          <w:szCs w:val="32"/>
          <w:lang w:val="en" w:eastAsia="zh-CN"/>
        </w:rPr>
        <w:t>生态系统保护</w:t>
      </w:r>
      <w:r>
        <w:rPr>
          <w:rFonts w:hint="eastAsia" w:ascii="Times New Roman" w:hAnsi="Times New Roman" w:eastAsia="楷体" w:cs="楷体"/>
          <w:sz w:val="32"/>
          <w:szCs w:val="32"/>
          <w:lang w:val="en-US" w:eastAsia="zh-CN"/>
        </w:rPr>
        <w:t>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_Toc14994 \h </w:instrText>
      </w:r>
      <w:r>
        <w:rPr>
          <w:rFonts w:ascii="Times New Roman" w:hAnsi="Times New Roman"/>
          <w:sz w:val="32"/>
          <w:szCs w:val="32"/>
        </w:rPr>
        <w:fldChar w:fldCharType="separate"/>
      </w:r>
      <w:r>
        <w:rPr>
          <w:rFonts w:ascii="Times New Roman" w:hAnsi="Times New Roman"/>
          <w:sz w:val="32"/>
          <w:szCs w:val="32"/>
        </w:rPr>
        <w:t>- 16 -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1F769EA">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_Toc24540 </w:instrText>
      </w:r>
      <w:r>
        <w:rPr>
          <w:rFonts w:hint="default" w:ascii="Times New Roman" w:hAnsi="Times New Roman" w:cs="Times New Roman"/>
          <w:bCs/>
          <w:sz w:val="32"/>
          <w:szCs w:val="32"/>
          <w:lang w:val="zh-CN"/>
        </w:rPr>
        <w:fldChar w:fldCharType="separate"/>
      </w:r>
      <w:r>
        <w:rPr>
          <w:rFonts w:hint="eastAsia" w:ascii="Times New Roman" w:hAnsi="Times New Roman"/>
          <w:sz w:val="32"/>
          <w:szCs w:val="32"/>
          <w:lang w:val="en-US" w:eastAsia="zh-CN"/>
        </w:rPr>
        <w:t>（三）</w:t>
      </w:r>
      <w:r>
        <w:rPr>
          <w:rFonts w:hint="eastAsia" w:ascii="Times New Roman" w:hAnsi="Times New Roman" w:eastAsia="楷体" w:cs="楷体"/>
          <w:sz w:val="32"/>
          <w:szCs w:val="32"/>
          <w:lang w:val="en-US" w:eastAsia="zh-CN"/>
        </w:rPr>
        <w:t>强化冰川生态系统保护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_Toc24540 \h </w:instrText>
      </w:r>
      <w:r>
        <w:rPr>
          <w:rFonts w:ascii="Times New Roman" w:hAnsi="Times New Roman"/>
          <w:sz w:val="32"/>
          <w:szCs w:val="32"/>
        </w:rPr>
        <w:fldChar w:fldCharType="separate"/>
      </w:r>
      <w:r>
        <w:rPr>
          <w:rFonts w:ascii="Times New Roman" w:hAnsi="Times New Roman"/>
          <w:sz w:val="32"/>
          <w:szCs w:val="32"/>
        </w:rPr>
        <w:t>- 16 -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91E0B57">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_Toc17584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（四）强化湿地生态系统保护修复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_Toc17584 \h </w:instrText>
      </w:r>
      <w:r>
        <w:rPr>
          <w:rFonts w:ascii="Times New Roman" w:hAnsi="Times New Roman"/>
          <w:sz w:val="32"/>
          <w:szCs w:val="32"/>
        </w:rPr>
        <w:fldChar w:fldCharType="separate"/>
      </w:r>
      <w:r>
        <w:rPr>
          <w:rFonts w:ascii="Times New Roman" w:hAnsi="Times New Roman"/>
          <w:sz w:val="32"/>
          <w:szCs w:val="32"/>
        </w:rPr>
        <w:t>- 17 -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6C41209">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_Toc29320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（五）加强退化区域生态保护修复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_Toc29320 \h </w:instrText>
      </w:r>
      <w:r>
        <w:rPr>
          <w:rFonts w:ascii="Times New Roman" w:hAnsi="Times New Roman"/>
          <w:sz w:val="32"/>
          <w:szCs w:val="32"/>
        </w:rPr>
        <w:fldChar w:fldCharType="separate"/>
      </w:r>
      <w:r>
        <w:rPr>
          <w:rFonts w:ascii="Times New Roman" w:hAnsi="Times New Roman"/>
          <w:sz w:val="32"/>
          <w:szCs w:val="32"/>
        </w:rPr>
        <w:t>- 18 -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901F5DF">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_Toc1204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三、加大生物多样性保护力度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_Toc1204 \h </w:instrText>
      </w:r>
      <w:r>
        <w:rPr>
          <w:rFonts w:ascii="Times New Roman" w:hAnsi="Times New Roman"/>
          <w:sz w:val="32"/>
          <w:szCs w:val="32"/>
        </w:rPr>
        <w:fldChar w:fldCharType="separate"/>
      </w:r>
      <w:r>
        <w:rPr>
          <w:rFonts w:ascii="Times New Roman" w:hAnsi="Times New Roman"/>
          <w:sz w:val="32"/>
          <w:szCs w:val="32"/>
        </w:rPr>
        <w:t>- 18 -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C01A49F">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_Toc10503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一</w:t>
      </w:r>
      <w:r>
        <w:rPr>
          <w:rFonts w:hint="eastAsia" w:ascii="Times New Roman" w:hAnsi="Times New Roman" w:eastAsia="楷体" w:cs="楷体"/>
          <w:sz w:val="32"/>
          <w:szCs w:val="32"/>
          <w:lang w:val="en" w:eastAsia="zh-CN"/>
        </w:rPr>
        <w:t>）强化生物多样性保护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_Toc10503 \h </w:instrText>
      </w:r>
      <w:r>
        <w:rPr>
          <w:rFonts w:ascii="Times New Roman" w:hAnsi="Times New Roman"/>
          <w:sz w:val="32"/>
          <w:szCs w:val="32"/>
        </w:rPr>
        <w:fldChar w:fldCharType="separate"/>
      </w:r>
      <w:r>
        <w:rPr>
          <w:rFonts w:ascii="Times New Roman" w:hAnsi="Times New Roman"/>
          <w:sz w:val="32"/>
          <w:szCs w:val="32"/>
        </w:rPr>
        <w:t>- 18 -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6BE62C7">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_Toc25015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w:t>
      </w:r>
      <w:r>
        <w:rPr>
          <w:rFonts w:hint="eastAsia" w:ascii="Times New Roman" w:hAnsi="Times New Roman" w:eastAsia="楷体" w:cs="楷体"/>
          <w:sz w:val="32"/>
          <w:szCs w:val="32"/>
          <w:lang w:val="en" w:eastAsia="zh-CN"/>
        </w:rPr>
        <w:t>）严格外来入侵物种防控</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_Toc25015 \h </w:instrText>
      </w:r>
      <w:r>
        <w:rPr>
          <w:rFonts w:ascii="Times New Roman" w:hAnsi="Times New Roman"/>
          <w:sz w:val="32"/>
          <w:szCs w:val="32"/>
        </w:rPr>
        <w:fldChar w:fldCharType="separate"/>
      </w:r>
      <w:r>
        <w:rPr>
          <w:rFonts w:ascii="Times New Roman" w:hAnsi="Times New Roman"/>
          <w:sz w:val="32"/>
          <w:szCs w:val="32"/>
        </w:rPr>
        <w:t>- 19 -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C9B90A2">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_Toc25628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四、深化国家生态文明高地建设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_Toc25628 \h </w:instrText>
      </w:r>
      <w:r>
        <w:rPr>
          <w:rFonts w:ascii="Times New Roman" w:hAnsi="Times New Roman"/>
          <w:sz w:val="32"/>
          <w:szCs w:val="32"/>
        </w:rPr>
        <w:fldChar w:fldCharType="separate"/>
      </w:r>
      <w:r>
        <w:rPr>
          <w:rFonts w:ascii="Times New Roman" w:hAnsi="Times New Roman"/>
          <w:sz w:val="32"/>
          <w:szCs w:val="32"/>
        </w:rPr>
        <w:t>- 19 -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8C1C19F">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_Toc16187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（一）强化国家生态文明高地建设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_Toc16187 \h </w:instrText>
      </w:r>
      <w:r>
        <w:rPr>
          <w:rFonts w:ascii="Times New Roman" w:hAnsi="Times New Roman"/>
          <w:sz w:val="32"/>
          <w:szCs w:val="32"/>
        </w:rPr>
        <w:fldChar w:fldCharType="separate"/>
      </w:r>
      <w:r>
        <w:rPr>
          <w:rFonts w:ascii="Times New Roman" w:hAnsi="Times New Roman"/>
          <w:sz w:val="32"/>
          <w:szCs w:val="32"/>
        </w:rPr>
        <w:t>- 19 -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6450096">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_Toc4070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（二）巩固国家生态文明建设示范区成果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_Toc4070 \h </w:instrText>
      </w:r>
      <w:r>
        <w:rPr>
          <w:rFonts w:ascii="Times New Roman" w:hAnsi="Times New Roman"/>
          <w:sz w:val="32"/>
          <w:szCs w:val="32"/>
        </w:rPr>
        <w:fldChar w:fldCharType="separate"/>
      </w:r>
      <w:r>
        <w:rPr>
          <w:rFonts w:ascii="Times New Roman" w:hAnsi="Times New Roman"/>
          <w:sz w:val="32"/>
          <w:szCs w:val="32"/>
        </w:rPr>
        <w:t>- 20 -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49FF095">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_Toc7423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highlight w:val="none"/>
          <w:lang w:val="en-US" w:eastAsia="zh-CN"/>
        </w:rPr>
        <w:t>（三）推动生态产品价值转化</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_Toc7423 \h </w:instrText>
      </w:r>
      <w:r>
        <w:rPr>
          <w:rFonts w:ascii="Times New Roman" w:hAnsi="Times New Roman"/>
          <w:sz w:val="32"/>
          <w:szCs w:val="32"/>
        </w:rPr>
        <w:fldChar w:fldCharType="separate"/>
      </w:r>
      <w:r>
        <w:rPr>
          <w:rFonts w:ascii="Times New Roman" w:hAnsi="Times New Roman"/>
          <w:sz w:val="32"/>
          <w:szCs w:val="32"/>
        </w:rPr>
        <w:t>- 20 -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71A478C">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_Toc18648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五、建设现代化美丽丁青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_Toc18648 \h </w:instrText>
      </w:r>
      <w:r>
        <w:rPr>
          <w:rFonts w:ascii="Times New Roman" w:hAnsi="Times New Roman"/>
          <w:sz w:val="32"/>
          <w:szCs w:val="32"/>
        </w:rPr>
        <w:fldChar w:fldCharType="separate"/>
      </w:r>
      <w:r>
        <w:rPr>
          <w:rFonts w:ascii="Times New Roman" w:hAnsi="Times New Roman"/>
          <w:sz w:val="32"/>
          <w:szCs w:val="32"/>
        </w:rPr>
        <w:t>- 21 -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33F56FB">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_Toc6800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一）打造生态</w:t>
      </w:r>
      <w:r>
        <w:rPr>
          <w:rFonts w:hint="eastAsia" w:ascii="Times New Roman" w:hAnsi="Times New Roman" w:eastAsia="楷体" w:cs="楷体"/>
          <w:sz w:val="32"/>
          <w:szCs w:val="32"/>
          <w:lang w:val="en" w:eastAsia="zh-CN"/>
        </w:rPr>
        <w:t>宜居</w:t>
      </w:r>
      <w:r>
        <w:rPr>
          <w:rFonts w:hint="eastAsia" w:ascii="Times New Roman" w:hAnsi="Times New Roman" w:eastAsia="楷体" w:cs="楷体"/>
          <w:sz w:val="32"/>
          <w:szCs w:val="32"/>
          <w:lang w:val="en-US" w:eastAsia="zh-CN"/>
        </w:rPr>
        <w:t>美丽县城</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_Toc6800 \h </w:instrText>
      </w:r>
      <w:r>
        <w:rPr>
          <w:rFonts w:ascii="Times New Roman" w:hAnsi="Times New Roman"/>
          <w:sz w:val="32"/>
          <w:szCs w:val="32"/>
        </w:rPr>
        <w:fldChar w:fldCharType="separate"/>
      </w:r>
      <w:r>
        <w:rPr>
          <w:rFonts w:ascii="Times New Roman" w:hAnsi="Times New Roman"/>
          <w:sz w:val="32"/>
          <w:szCs w:val="32"/>
        </w:rPr>
        <w:t>- 21 -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540334E">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_Toc31117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二）深入</w:t>
      </w:r>
      <w:r>
        <w:rPr>
          <w:rFonts w:hint="eastAsia" w:ascii="Times New Roman" w:hAnsi="Times New Roman" w:eastAsia="楷体" w:cs="楷体"/>
          <w:sz w:val="32"/>
          <w:szCs w:val="32"/>
          <w:lang w:val="en" w:eastAsia="zh-CN"/>
        </w:rPr>
        <w:t>推进“美丽</w:t>
      </w:r>
      <w:r>
        <w:rPr>
          <w:rFonts w:hint="eastAsia" w:ascii="Times New Roman" w:hAnsi="Times New Roman" w:eastAsia="楷体" w:cs="楷体"/>
          <w:sz w:val="32"/>
          <w:szCs w:val="32"/>
          <w:lang w:val="en-US" w:eastAsia="zh-CN"/>
        </w:rPr>
        <w:t>系列</w:t>
      </w:r>
      <w:r>
        <w:rPr>
          <w:rFonts w:hint="eastAsia" w:ascii="Times New Roman" w:hAnsi="Times New Roman" w:eastAsia="楷体" w:cs="楷体"/>
          <w:sz w:val="32"/>
          <w:szCs w:val="32"/>
          <w:lang w:val="en" w:eastAsia="zh-CN"/>
        </w:rPr>
        <w:t>”建设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_Toc31117 \h </w:instrText>
      </w:r>
      <w:r>
        <w:rPr>
          <w:rFonts w:ascii="Times New Roman" w:hAnsi="Times New Roman"/>
          <w:sz w:val="32"/>
          <w:szCs w:val="32"/>
        </w:rPr>
        <w:fldChar w:fldCharType="separate"/>
      </w:r>
      <w:r>
        <w:rPr>
          <w:rFonts w:ascii="Times New Roman" w:hAnsi="Times New Roman"/>
          <w:sz w:val="32"/>
          <w:szCs w:val="32"/>
        </w:rPr>
        <w:t>- 22 -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1CE0BAF">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_Toc9307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第四章 深入推进污染防治攻坚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_Toc9307 \h </w:instrText>
      </w:r>
      <w:r>
        <w:rPr>
          <w:rFonts w:ascii="Times New Roman" w:hAnsi="Times New Roman"/>
          <w:sz w:val="32"/>
          <w:szCs w:val="32"/>
        </w:rPr>
        <w:fldChar w:fldCharType="separate"/>
      </w:r>
      <w:r>
        <w:rPr>
          <w:rFonts w:ascii="Times New Roman" w:hAnsi="Times New Roman"/>
          <w:sz w:val="32"/>
          <w:szCs w:val="32"/>
        </w:rPr>
        <w:t>- 23 -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6ED67A0">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_Toc16401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w:t>
      </w:r>
      <w:r>
        <w:rPr>
          <w:rFonts w:hint="eastAsia" w:ascii="Times New Roman" w:hAnsi="Times New Roman" w:eastAsia="黑体" w:cs="黑体"/>
          <w:bCs w:val="0"/>
          <w:sz w:val="32"/>
          <w:szCs w:val="32"/>
          <w:highlight w:val="none"/>
          <w:lang w:val="en" w:eastAsia="zh-CN" w:bidi="ar-SA"/>
        </w:rPr>
        <w:t>打赢蓝天保卫战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_Toc16401 \h </w:instrText>
      </w:r>
      <w:r>
        <w:rPr>
          <w:rFonts w:ascii="Times New Roman" w:hAnsi="Times New Roman"/>
          <w:sz w:val="32"/>
          <w:szCs w:val="32"/>
        </w:rPr>
        <w:fldChar w:fldCharType="separate"/>
      </w:r>
      <w:r>
        <w:rPr>
          <w:rFonts w:ascii="Times New Roman" w:hAnsi="Times New Roman"/>
          <w:sz w:val="32"/>
          <w:szCs w:val="32"/>
        </w:rPr>
        <w:t>- 23 -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3FD6F4E">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_Toc32325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（一）强化</w:t>
      </w:r>
      <w:r>
        <w:rPr>
          <w:rFonts w:hint="eastAsia" w:ascii="Times New Roman" w:hAnsi="Times New Roman" w:eastAsia="楷体" w:cs="楷体"/>
          <w:sz w:val="32"/>
          <w:szCs w:val="32"/>
          <w:lang w:val="en" w:eastAsia="zh-CN"/>
        </w:rPr>
        <w:t>工业</w:t>
      </w:r>
      <w:r>
        <w:rPr>
          <w:rFonts w:hint="eastAsia" w:ascii="Times New Roman" w:hAnsi="Times New Roman" w:eastAsia="楷体" w:cs="楷体"/>
          <w:sz w:val="32"/>
          <w:szCs w:val="32"/>
          <w:lang w:val="en-US" w:eastAsia="zh-CN"/>
        </w:rPr>
        <w:t>大气</w:t>
      </w:r>
      <w:r>
        <w:rPr>
          <w:rFonts w:hint="eastAsia" w:ascii="Times New Roman" w:hAnsi="Times New Roman" w:eastAsia="楷体" w:cs="楷体"/>
          <w:sz w:val="32"/>
          <w:szCs w:val="32"/>
          <w:lang w:val="en" w:eastAsia="zh-CN"/>
        </w:rPr>
        <w:t>污染防治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_Toc32325 \h </w:instrText>
      </w:r>
      <w:r>
        <w:rPr>
          <w:rFonts w:ascii="Times New Roman" w:hAnsi="Times New Roman"/>
          <w:sz w:val="32"/>
          <w:szCs w:val="32"/>
        </w:rPr>
        <w:fldChar w:fldCharType="separate"/>
      </w:r>
      <w:r>
        <w:rPr>
          <w:rFonts w:ascii="Times New Roman" w:hAnsi="Times New Roman"/>
          <w:sz w:val="32"/>
          <w:szCs w:val="32"/>
        </w:rPr>
        <w:t>- 23 -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BA63E9C">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_Toc7826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w:t>
      </w:r>
      <w:r>
        <w:rPr>
          <w:rFonts w:hint="eastAsia" w:ascii="Times New Roman" w:hAnsi="Times New Roman" w:eastAsia="楷体" w:cs="楷体"/>
          <w:sz w:val="32"/>
          <w:szCs w:val="32"/>
          <w:lang w:val="en" w:eastAsia="zh-CN"/>
        </w:rPr>
        <w:t>）综合治理移动源污染</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_Toc7826 \h </w:instrText>
      </w:r>
      <w:r>
        <w:rPr>
          <w:rFonts w:ascii="Times New Roman" w:hAnsi="Times New Roman"/>
          <w:sz w:val="32"/>
          <w:szCs w:val="32"/>
        </w:rPr>
        <w:fldChar w:fldCharType="separate"/>
      </w:r>
      <w:r>
        <w:rPr>
          <w:rFonts w:ascii="Times New Roman" w:hAnsi="Times New Roman"/>
          <w:sz w:val="32"/>
          <w:szCs w:val="32"/>
        </w:rPr>
        <w:t>- 24 -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FDEEEEA">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_Toc16411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（三）整治扬尘与面源污染</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_Toc16411 \h </w:instrText>
      </w:r>
      <w:r>
        <w:rPr>
          <w:rFonts w:ascii="Times New Roman" w:hAnsi="Times New Roman"/>
          <w:sz w:val="32"/>
          <w:szCs w:val="32"/>
        </w:rPr>
        <w:fldChar w:fldCharType="separate"/>
      </w:r>
      <w:r>
        <w:rPr>
          <w:rFonts w:ascii="Times New Roman" w:hAnsi="Times New Roman"/>
          <w:sz w:val="32"/>
          <w:szCs w:val="32"/>
        </w:rPr>
        <w:t>- 25 -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C83D1EB">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_Toc23204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w:t>
      </w:r>
      <w:r>
        <w:rPr>
          <w:rFonts w:hint="eastAsia" w:ascii="Times New Roman" w:hAnsi="Times New Roman" w:eastAsia="黑体" w:cs="黑体"/>
          <w:bCs w:val="0"/>
          <w:sz w:val="32"/>
          <w:szCs w:val="32"/>
          <w:highlight w:val="none"/>
          <w:lang w:val="en" w:eastAsia="zh-CN" w:bidi="ar-SA"/>
        </w:rPr>
        <w:t>深入打好碧水保卫战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_Toc23204 \h </w:instrText>
      </w:r>
      <w:r>
        <w:rPr>
          <w:rFonts w:ascii="Times New Roman" w:hAnsi="Times New Roman"/>
          <w:sz w:val="32"/>
          <w:szCs w:val="32"/>
        </w:rPr>
        <w:fldChar w:fldCharType="separate"/>
      </w:r>
      <w:r>
        <w:rPr>
          <w:rFonts w:ascii="Times New Roman" w:hAnsi="Times New Roman"/>
          <w:sz w:val="32"/>
          <w:szCs w:val="32"/>
        </w:rPr>
        <w:t>- 27 -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D23FA18">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_Toc14926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（一）深化水环境综合治理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_Toc14926 \h </w:instrText>
      </w:r>
      <w:r>
        <w:rPr>
          <w:rFonts w:ascii="Times New Roman" w:hAnsi="Times New Roman"/>
          <w:sz w:val="32"/>
          <w:szCs w:val="32"/>
        </w:rPr>
        <w:fldChar w:fldCharType="separate"/>
      </w:r>
      <w:r>
        <w:rPr>
          <w:rFonts w:ascii="Times New Roman" w:hAnsi="Times New Roman"/>
          <w:sz w:val="32"/>
          <w:szCs w:val="32"/>
        </w:rPr>
        <w:t>- 27 -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5469E12">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_Toc18287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w:t>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提升水资源保护水平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_Toc18287 \h </w:instrText>
      </w:r>
      <w:r>
        <w:rPr>
          <w:rFonts w:ascii="Times New Roman" w:hAnsi="Times New Roman"/>
          <w:sz w:val="32"/>
          <w:szCs w:val="32"/>
        </w:rPr>
        <w:fldChar w:fldCharType="separate"/>
      </w:r>
      <w:r>
        <w:rPr>
          <w:rFonts w:ascii="Times New Roman" w:hAnsi="Times New Roman"/>
          <w:sz w:val="32"/>
          <w:szCs w:val="32"/>
        </w:rPr>
        <w:t>- 28 -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E1E5A4D">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_Toc11744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三</w:t>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实施水生态保护修复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_Toc11744 \h </w:instrText>
      </w:r>
      <w:r>
        <w:rPr>
          <w:rFonts w:ascii="Times New Roman" w:hAnsi="Times New Roman"/>
          <w:sz w:val="32"/>
          <w:szCs w:val="32"/>
        </w:rPr>
        <w:fldChar w:fldCharType="separate"/>
      </w:r>
      <w:r>
        <w:rPr>
          <w:rFonts w:ascii="Times New Roman" w:hAnsi="Times New Roman"/>
          <w:sz w:val="32"/>
          <w:szCs w:val="32"/>
        </w:rPr>
        <w:t>- 28 -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C5F2F5B">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_Toc23169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w:t>
      </w:r>
      <w:r>
        <w:rPr>
          <w:rFonts w:hint="eastAsia" w:ascii="Times New Roman" w:hAnsi="Times New Roman" w:eastAsia="黑体" w:cs="黑体"/>
          <w:bCs w:val="0"/>
          <w:sz w:val="32"/>
          <w:szCs w:val="32"/>
          <w:highlight w:val="none"/>
          <w:lang w:val="en" w:eastAsia="zh-CN" w:bidi="ar-SA"/>
        </w:rPr>
        <w:t>深化打好净土保卫战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_Toc23169 \h </w:instrText>
      </w:r>
      <w:r>
        <w:rPr>
          <w:rFonts w:ascii="Times New Roman" w:hAnsi="Times New Roman"/>
          <w:sz w:val="32"/>
          <w:szCs w:val="32"/>
        </w:rPr>
        <w:fldChar w:fldCharType="separate"/>
      </w:r>
      <w:r>
        <w:rPr>
          <w:rFonts w:ascii="Times New Roman" w:hAnsi="Times New Roman"/>
          <w:sz w:val="32"/>
          <w:szCs w:val="32"/>
        </w:rPr>
        <w:t>- 29 -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DA5E4FD">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_Toc22638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一</w:t>
      </w:r>
      <w:r>
        <w:rPr>
          <w:rFonts w:hint="eastAsia" w:ascii="Times New Roman" w:hAnsi="Times New Roman" w:eastAsia="楷体" w:cs="楷体"/>
          <w:sz w:val="32"/>
          <w:szCs w:val="32"/>
          <w:lang w:val="en" w:eastAsia="zh-CN"/>
        </w:rPr>
        <w:t>）强化建设用地风险管控</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_Toc22638 \h </w:instrText>
      </w:r>
      <w:r>
        <w:rPr>
          <w:rFonts w:ascii="Times New Roman" w:hAnsi="Times New Roman"/>
          <w:sz w:val="32"/>
          <w:szCs w:val="32"/>
        </w:rPr>
        <w:fldChar w:fldCharType="separate"/>
      </w:r>
      <w:r>
        <w:rPr>
          <w:rFonts w:ascii="Times New Roman" w:hAnsi="Times New Roman"/>
          <w:sz w:val="32"/>
          <w:szCs w:val="32"/>
        </w:rPr>
        <w:t>- 29 -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563E2C4">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_Toc10279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二</w:t>
      </w:r>
      <w:r>
        <w:rPr>
          <w:rFonts w:hint="eastAsia" w:ascii="Times New Roman" w:hAnsi="Times New Roman" w:eastAsia="楷体" w:cs="楷体"/>
          <w:sz w:val="32"/>
          <w:szCs w:val="32"/>
          <w:lang w:val="en" w:eastAsia="zh-CN"/>
        </w:rPr>
        <w:t>）</w:t>
      </w:r>
      <w:r>
        <w:rPr>
          <w:rFonts w:hint="eastAsia" w:ascii="Times New Roman" w:hAnsi="Times New Roman" w:eastAsia="楷体" w:cs="楷体"/>
          <w:sz w:val="32"/>
          <w:szCs w:val="32"/>
          <w:lang w:val="en-US" w:eastAsia="zh-CN"/>
        </w:rPr>
        <w:t>加强农用地生态环境保护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_Toc10279 \h </w:instrText>
      </w:r>
      <w:r>
        <w:rPr>
          <w:rFonts w:ascii="Times New Roman" w:hAnsi="Times New Roman"/>
          <w:sz w:val="32"/>
          <w:szCs w:val="32"/>
        </w:rPr>
        <w:fldChar w:fldCharType="separate"/>
      </w:r>
      <w:r>
        <w:rPr>
          <w:rFonts w:ascii="Times New Roman" w:hAnsi="Times New Roman"/>
          <w:sz w:val="32"/>
          <w:szCs w:val="32"/>
        </w:rPr>
        <w:t>- 30 -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DC818B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_Toc7599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（三）深化地下水污染协同防治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_Toc7599 \h </w:instrText>
      </w:r>
      <w:r>
        <w:rPr>
          <w:rFonts w:ascii="Times New Roman" w:hAnsi="Times New Roman"/>
          <w:sz w:val="32"/>
          <w:szCs w:val="32"/>
        </w:rPr>
        <w:fldChar w:fldCharType="separate"/>
      </w:r>
      <w:r>
        <w:rPr>
          <w:rFonts w:ascii="Times New Roman" w:hAnsi="Times New Roman"/>
          <w:sz w:val="32"/>
          <w:szCs w:val="32"/>
        </w:rPr>
        <w:t>- 30 -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E75E96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_Toc2923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（四）强化农业农村污染治理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_Toc2923 \h </w:instrText>
      </w:r>
      <w:r>
        <w:rPr>
          <w:rFonts w:ascii="Times New Roman" w:hAnsi="Times New Roman"/>
          <w:sz w:val="32"/>
          <w:szCs w:val="32"/>
        </w:rPr>
        <w:fldChar w:fldCharType="separate"/>
      </w:r>
      <w:r>
        <w:rPr>
          <w:rFonts w:ascii="Times New Roman" w:hAnsi="Times New Roman"/>
          <w:sz w:val="32"/>
          <w:szCs w:val="32"/>
        </w:rPr>
        <w:t>- 30 -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5930898">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_Toc8687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四、提质增效建设“无废城市”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_Toc8687 \h </w:instrText>
      </w:r>
      <w:r>
        <w:rPr>
          <w:rFonts w:ascii="Times New Roman" w:hAnsi="Times New Roman"/>
          <w:sz w:val="32"/>
          <w:szCs w:val="32"/>
        </w:rPr>
        <w:fldChar w:fldCharType="separate"/>
      </w:r>
      <w:r>
        <w:rPr>
          <w:rFonts w:ascii="Times New Roman" w:hAnsi="Times New Roman"/>
          <w:sz w:val="32"/>
          <w:szCs w:val="32"/>
        </w:rPr>
        <w:t>- 31 -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790862D">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_Toc7981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（一）深入开展</w:t>
      </w:r>
      <w:r>
        <w:rPr>
          <w:rFonts w:hint="eastAsia" w:ascii="Times New Roman" w:hAnsi="Times New Roman" w:eastAsia="楷体" w:cs="楷体"/>
          <w:sz w:val="32"/>
          <w:szCs w:val="32"/>
          <w:lang w:val="en" w:eastAsia="zh-CN"/>
        </w:rPr>
        <w:t>固体废物综合治理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_Toc7981 \h </w:instrText>
      </w:r>
      <w:r>
        <w:rPr>
          <w:rFonts w:ascii="Times New Roman" w:hAnsi="Times New Roman"/>
          <w:sz w:val="32"/>
          <w:szCs w:val="32"/>
        </w:rPr>
        <w:fldChar w:fldCharType="separate"/>
      </w:r>
      <w:r>
        <w:rPr>
          <w:rFonts w:ascii="Times New Roman" w:hAnsi="Times New Roman"/>
          <w:sz w:val="32"/>
          <w:szCs w:val="32"/>
        </w:rPr>
        <w:t>- 31 -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295A088">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_Toc1349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（二）健全一般工业固废治理体系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_Toc1349 \h </w:instrText>
      </w:r>
      <w:r>
        <w:rPr>
          <w:rFonts w:ascii="Times New Roman" w:hAnsi="Times New Roman"/>
          <w:sz w:val="32"/>
          <w:szCs w:val="32"/>
        </w:rPr>
        <w:fldChar w:fldCharType="separate"/>
      </w:r>
      <w:r>
        <w:rPr>
          <w:rFonts w:ascii="Times New Roman" w:hAnsi="Times New Roman"/>
          <w:sz w:val="32"/>
          <w:szCs w:val="32"/>
        </w:rPr>
        <w:t>- 31 -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C3842FA">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_Toc6393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w:t>
      </w:r>
      <w:r>
        <w:rPr>
          <w:rFonts w:hint="eastAsia" w:ascii="Times New Roman" w:hAnsi="Times New Roman" w:eastAsia="楷体" w:cs="楷体"/>
          <w:sz w:val="32"/>
          <w:szCs w:val="32"/>
          <w:lang w:val="en" w:eastAsia="zh-CN"/>
        </w:rPr>
        <w:t>推进农业固体废物高效利用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_Toc6393 \h </w:instrText>
      </w:r>
      <w:r>
        <w:rPr>
          <w:rFonts w:ascii="Times New Roman" w:hAnsi="Times New Roman"/>
          <w:sz w:val="32"/>
          <w:szCs w:val="32"/>
        </w:rPr>
        <w:fldChar w:fldCharType="separate"/>
      </w:r>
      <w:r>
        <w:rPr>
          <w:rFonts w:ascii="Times New Roman" w:hAnsi="Times New Roman"/>
          <w:sz w:val="32"/>
          <w:szCs w:val="32"/>
        </w:rPr>
        <w:t>- 32 -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6983F63">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_Toc11670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（四）</w:t>
      </w:r>
      <w:r>
        <w:rPr>
          <w:rFonts w:hint="eastAsia" w:ascii="Times New Roman" w:hAnsi="Times New Roman" w:eastAsia="楷体" w:cs="楷体"/>
          <w:sz w:val="32"/>
          <w:szCs w:val="32"/>
          <w:lang w:val="en" w:eastAsia="zh-CN"/>
        </w:rPr>
        <w:t>实施生活源固废精细化管理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_Toc11670 \h </w:instrText>
      </w:r>
      <w:r>
        <w:rPr>
          <w:rFonts w:ascii="Times New Roman" w:hAnsi="Times New Roman"/>
          <w:sz w:val="32"/>
          <w:szCs w:val="32"/>
        </w:rPr>
        <w:fldChar w:fldCharType="separate"/>
      </w:r>
      <w:r>
        <w:rPr>
          <w:rFonts w:ascii="Times New Roman" w:hAnsi="Times New Roman"/>
          <w:sz w:val="32"/>
          <w:szCs w:val="32"/>
        </w:rPr>
        <w:t>- 33 -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3D56A5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_Toc23425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（五）加快推进建筑垃圾综合利用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_Toc23425 \h </w:instrText>
      </w:r>
      <w:r>
        <w:rPr>
          <w:rFonts w:ascii="Times New Roman" w:hAnsi="Times New Roman"/>
          <w:sz w:val="32"/>
          <w:szCs w:val="32"/>
        </w:rPr>
        <w:fldChar w:fldCharType="separate"/>
      </w:r>
      <w:r>
        <w:rPr>
          <w:rFonts w:ascii="Times New Roman" w:hAnsi="Times New Roman"/>
          <w:sz w:val="32"/>
          <w:szCs w:val="32"/>
        </w:rPr>
        <w:t>- 33 -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2FF3A0A">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_Toc15786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第五章 推动全社会绿色低碳转型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_Toc15786 \h </w:instrText>
      </w:r>
      <w:r>
        <w:rPr>
          <w:rFonts w:ascii="Times New Roman" w:hAnsi="Times New Roman"/>
          <w:sz w:val="32"/>
          <w:szCs w:val="32"/>
        </w:rPr>
        <w:fldChar w:fldCharType="separate"/>
      </w:r>
      <w:r>
        <w:rPr>
          <w:rFonts w:ascii="Times New Roman" w:hAnsi="Times New Roman"/>
          <w:sz w:val="32"/>
          <w:szCs w:val="32"/>
        </w:rPr>
        <w:t>- 34 -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247FB08">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_Toc1505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lang w:val="en" w:eastAsia="zh-CN" w:bidi="ar-SA"/>
        </w:rPr>
        <w:t xml:space="preserve">一、 </w:t>
      </w:r>
      <w:r>
        <w:rPr>
          <w:rFonts w:hint="eastAsia" w:ascii="Times New Roman" w:hAnsi="Times New Roman" w:eastAsia="黑体" w:cs="黑体"/>
          <w:bCs w:val="0"/>
          <w:sz w:val="32"/>
          <w:szCs w:val="32"/>
          <w:highlight w:val="none"/>
          <w:lang w:val="en" w:eastAsia="zh-CN" w:bidi="ar-SA"/>
        </w:rPr>
        <w:t>推进产业绿色</w:t>
      </w:r>
      <w:r>
        <w:rPr>
          <w:rFonts w:hint="eastAsia" w:ascii="Times New Roman" w:hAnsi="Times New Roman" w:eastAsia="黑体" w:cs="黑体"/>
          <w:bCs w:val="0"/>
          <w:sz w:val="32"/>
          <w:szCs w:val="32"/>
          <w:highlight w:val="none"/>
          <w:lang w:val="en-US" w:eastAsia="zh-CN" w:bidi="ar-SA"/>
        </w:rPr>
        <w:t>低碳转型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_Toc1505 \h </w:instrText>
      </w:r>
      <w:r>
        <w:rPr>
          <w:rFonts w:ascii="Times New Roman" w:hAnsi="Times New Roman"/>
          <w:sz w:val="32"/>
          <w:szCs w:val="32"/>
        </w:rPr>
        <w:fldChar w:fldCharType="separate"/>
      </w:r>
      <w:r>
        <w:rPr>
          <w:rFonts w:ascii="Times New Roman" w:hAnsi="Times New Roman"/>
          <w:sz w:val="32"/>
          <w:szCs w:val="32"/>
        </w:rPr>
        <w:t>- 34 -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485A0DD">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_Toc2518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kern w:val="2"/>
          <w:sz w:val="32"/>
          <w:szCs w:val="32"/>
          <w:lang w:val="en-US" w:eastAsia="zh-CN" w:bidi="ar-SA"/>
        </w:rPr>
        <w:t>（一）</w:t>
      </w:r>
      <w:r>
        <w:rPr>
          <w:rFonts w:hint="eastAsia" w:ascii="Times New Roman" w:hAnsi="Times New Roman" w:eastAsia="楷体" w:cs="楷体"/>
          <w:sz w:val="32"/>
          <w:szCs w:val="32"/>
          <w:lang w:val="en-US" w:eastAsia="zh-CN"/>
        </w:rPr>
        <w:t>落实生态环境分区管控</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_Toc2518 \h </w:instrText>
      </w:r>
      <w:r>
        <w:rPr>
          <w:rFonts w:ascii="Times New Roman" w:hAnsi="Times New Roman"/>
          <w:sz w:val="32"/>
          <w:szCs w:val="32"/>
        </w:rPr>
        <w:fldChar w:fldCharType="separate"/>
      </w:r>
      <w:r>
        <w:rPr>
          <w:rFonts w:ascii="Times New Roman" w:hAnsi="Times New Roman"/>
          <w:sz w:val="32"/>
          <w:szCs w:val="32"/>
        </w:rPr>
        <w:t>- 34 -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54BEA0A">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_Toc11804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kern w:val="2"/>
          <w:sz w:val="32"/>
          <w:szCs w:val="32"/>
          <w:lang w:val="en-US" w:eastAsia="zh-CN" w:bidi="ar-SA"/>
        </w:rPr>
        <w:t>（二）</w:t>
      </w:r>
      <w:r>
        <w:rPr>
          <w:rFonts w:hint="eastAsia" w:ascii="Times New Roman" w:hAnsi="Times New Roman" w:eastAsia="楷体" w:cs="楷体"/>
          <w:sz w:val="32"/>
          <w:szCs w:val="32"/>
          <w:lang w:val="en-US" w:eastAsia="zh-CN"/>
        </w:rPr>
        <w:t>推动农牧业绿色发展</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_Toc11804 \h </w:instrText>
      </w:r>
      <w:r>
        <w:rPr>
          <w:rFonts w:ascii="Times New Roman" w:hAnsi="Times New Roman"/>
          <w:sz w:val="32"/>
          <w:szCs w:val="32"/>
        </w:rPr>
        <w:fldChar w:fldCharType="separate"/>
      </w:r>
      <w:r>
        <w:rPr>
          <w:rFonts w:ascii="Times New Roman" w:hAnsi="Times New Roman"/>
          <w:sz w:val="32"/>
          <w:szCs w:val="32"/>
        </w:rPr>
        <w:t>- 35 -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DB44002">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_Toc7945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 做优做强生态文旅产业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_Toc7945 \h </w:instrText>
      </w:r>
      <w:r>
        <w:rPr>
          <w:rFonts w:ascii="Times New Roman" w:hAnsi="Times New Roman"/>
          <w:sz w:val="32"/>
          <w:szCs w:val="32"/>
        </w:rPr>
        <w:fldChar w:fldCharType="separate"/>
      </w:r>
      <w:r>
        <w:rPr>
          <w:rFonts w:ascii="Times New Roman" w:hAnsi="Times New Roman"/>
          <w:sz w:val="32"/>
          <w:szCs w:val="32"/>
        </w:rPr>
        <w:t>- 35 -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7E70D3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_Toc10357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（四）推动工业绿色发展</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_Toc10357 \h </w:instrText>
      </w:r>
      <w:r>
        <w:rPr>
          <w:rFonts w:ascii="Times New Roman" w:hAnsi="Times New Roman"/>
          <w:sz w:val="32"/>
          <w:szCs w:val="32"/>
        </w:rPr>
        <w:fldChar w:fldCharType="separate"/>
      </w:r>
      <w:r>
        <w:rPr>
          <w:rFonts w:ascii="Times New Roman" w:hAnsi="Times New Roman"/>
          <w:sz w:val="32"/>
          <w:szCs w:val="32"/>
        </w:rPr>
        <w:t>- 36 -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67F8237">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_Toc22340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w:t>
      </w:r>
      <w:r>
        <w:rPr>
          <w:rFonts w:hint="eastAsia" w:ascii="Times New Roman" w:hAnsi="Times New Roman" w:eastAsia="黑体" w:cs="黑体"/>
          <w:bCs w:val="0"/>
          <w:sz w:val="32"/>
          <w:szCs w:val="32"/>
          <w:highlight w:val="none"/>
          <w:lang w:val="en" w:eastAsia="zh-CN" w:bidi="ar-SA"/>
        </w:rPr>
        <w:t>构建清洁低碳能源</w:t>
      </w:r>
      <w:r>
        <w:rPr>
          <w:rFonts w:hint="eastAsia" w:ascii="Times New Roman" w:hAnsi="Times New Roman" w:eastAsia="黑体" w:cs="黑体"/>
          <w:bCs w:val="0"/>
          <w:sz w:val="32"/>
          <w:szCs w:val="32"/>
          <w:highlight w:val="none"/>
          <w:lang w:val="en-US" w:eastAsia="zh-CN" w:bidi="ar-SA"/>
        </w:rPr>
        <w:t>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_Toc22340 \h </w:instrText>
      </w:r>
      <w:r>
        <w:rPr>
          <w:rFonts w:ascii="Times New Roman" w:hAnsi="Times New Roman"/>
          <w:sz w:val="32"/>
          <w:szCs w:val="32"/>
        </w:rPr>
        <w:fldChar w:fldCharType="separate"/>
      </w:r>
      <w:r>
        <w:rPr>
          <w:rFonts w:ascii="Times New Roman" w:hAnsi="Times New Roman"/>
          <w:sz w:val="32"/>
          <w:szCs w:val="32"/>
        </w:rPr>
        <w:t>- 36 -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392D416">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_Toc2702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（一）建设绿色清洁基地</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_Toc2702 \h </w:instrText>
      </w:r>
      <w:r>
        <w:rPr>
          <w:rFonts w:ascii="Times New Roman" w:hAnsi="Times New Roman"/>
          <w:sz w:val="32"/>
          <w:szCs w:val="32"/>
        </w:rPr>
        <w:fldChar w:fldCharType="separate"/>
      </w:r>
      <w:r>
        <w:rPr>
          <w:rFonts w:ascii="Times New Roman" w:hAnsi="Times New Roman"/>
          <w:sz w:val="32"/>
          <w:szCs w:val="32"/>
        </w:rPr>
        <w:t>- 36 -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ADA060A">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_Toc3775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（二）推进能源资源绿色利用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_Toc3775 \h </w:instrText>
      </w:r>
      <w:r>
        <w:rPr>
          <w:rFonts w:ascii="Times New Roman" w:hAnsi="Times New Roman"/>
          <w:sz w:val="32"/>
          <w:szCs w:val="32"/>
        </w:rPr>
        <w:fldChar w:fldCharType="separate"/>
      </w:r>
      <w:r>
        <w:rPr>
          <w:rFonts w:ascii="Times New Roman" w:hAnsi="Times New Roman"/>
          <w:sz w:val="32"/>
          <w:szCs w:val="32"/>
        </w:rPr>
        <w:t>- 37 -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E9BDF91">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_Toc20590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三、推动碳达峰碳中和行动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_Toc20590 \h </w:instrText>
      </w:r>
      <w:r>
        <w:rPr>
          <w:rFonts w:ascii="Times New Roman" w:hAnsi="Times New Roman"/>
          <w:sz w:val="32"/>
          <w:szCs w:val="32"/>
        </w:rPr>
        <w:fldChar w:fldCharType="separate"/>
      </w:r>
      <w:r>
        <w:rPr>
          <w:rFonts w:ascii="Times New Roman" w:hAnsi="Times New Roman"/>
          <w:sz w:val="32"/>
          <w:szCs w:val="32"/>
        </w:rPr>
        <w:t>- 37 -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999834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_Toc26443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（一）落实碳排放双控制度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_Toc26443 \h </w:instrText>
      </w:r>
      <w:r>
        <w:rPr>
          <w:rFonts w:ascii="Times New Roman" w:hAnsi="Times New Roman"/>
          <w:sz w:val="32"/>
          <w:szCs w:val="32"/>
        </w:rPr>
        <w:fldChar w:fldCharType="separate"/>
      </w:r>
      <w:r>
        <w:rPr>
          <w:rFonts w:ascii="Times New Roman" w:hAnsi="Times New Roman"/>
          <w:sz w:val="32"/>
          <w:szCs w:val="32"/>
        </w:rPr>
        <w:t>- 37 -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79777B6">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_Toc31462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w:t>
      </w:r>
      <w:r>
        <w:rPr>
          <w:rFonts w:hint="default" w:ascii="Times New Roman" w:hAnsi="Times New Roman" w:eastAsia="楷体" w:cs="楷体"/>
          <w:sz w:val="32"/>
          <w:szCs w:val="32"/>
          <w:lang w:val="en-US" w:eastAsia="zh-CN"/>
        </w:rPr>
        <w:t>提升生态系统碳汇能力</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_Toc31462 \h </w:instrText>
      </w:r>
      <w:r>
        <w:rPr>
          <w:rFonts w:ascii="Times New Roman" w:hAnsi="Times New Roman"/>
          <w:sz w:val="32"/>
          <w:szCs w:val="32"/>
        </w:rPr>
        <w:fldChar w:fldCharType="separate"/>
      </w:r>
      <w:r>
        <w:rPr>
          <w:rFonts w:ascii="Times New Roman" w:hAnsi="Times New Roman"/>
          <w:sz w:val="32"/>
          <w:szCs w:val="32"/>
        </w:rPr>
        <w:t>- 38 -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2E933F1">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_Toc13234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（三）倡导绿色低碳生活方式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_Toc13234 \h </w:instrText>
      </w:r>
      <w:r>
        <w:rPr>
          <w:rFonts w:ascii="Times New Roman" w:hAnsi="Times New Roman"/>
          <w:sz w:val="32"/>
          <w:szCs w:val="32"/>
        </w:rPr>
        <w:fldChar w:fldCharType="separate"/>
      </w:r>
      <w:r>
        <w:rPr>
          <w:rFonts w:ascii="Times New Roman" w:hAnsi="Times New Roman"/>
          <w:sz w:val="32"/>
          <w:szCs w:val="32"/>
        </w:rPr>
        <w:t>- 38 -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3888353">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_Toc31209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第六章 全面守护生态安全底线</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_Toc31209 \h </w:instrText>
      </w:r>
      <w:r>
        <w:rPr>
          <w:rFonts w:ascii="Times New Roman" w:hAnsi="Times New Roman"/>
          <w:sz w:val="32"/>
          <w:szCs w:val="32"/>
        </w:rPr>
        <w:fldChar w:fldCharType="separate"/>
      </w:r>
      <w:r>
        <w:rPr>
          <w:rFonts w:ascii="Times New Roman" w:hAnsi="Times New Roman"/>
          <w:sz w:val="32"/>
          <w:szCs w:val="32"/>
        </w:rPr>
        <w:t>- 38 -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61D5208">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_Toc13089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一、健全环境风险防控体系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_Toc13089 \h </w:instrText>
      </w:r>
      <w:r>
        <w:rPr>
          <w:rFonts w:ascii="Times New Roman" w:hAnsi="Times New Roman"/>
          <w:sz w:val="32"/>
          <w:szCs w:val="32"/>
        </w:rPr>
        <w:fldChar w:fldCharType="separate"/>
      </w:r>
      <w:r>
        <w:rPr>
          <w:rFonts w:ascii="Times New Roman" w:hAnsi="Times New Roman"/>
          <w:sz w:val="32"/>
          <w:szCs w:val="32"/>
        </w:rPr>
        <w:t>- 39 -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3CD3373">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_Toc2770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（一）强化危化学品运输风险防范</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_Toc2770 \h </w:instrText>
      </w:r>
      <w:r>
        <w:rPr>
          <w:rFonts w:ascii="Times New Roman" w:hAnsi="Times New Roman"/>
          <w:sz w:val="32"/>
          <w:szCs w:val="32"/>
        </w:rPr>
        <w:fldChar w:fldCharType="separate"/>
      </w:r>
      <w:r>
        <w:rPr>
          <w:rFonts w:ascii="Times New Roman" w:hAnsi="Times New Roman"/>
          <w:sz w:val="32"/>
          <w:szCs w:val="32"/>
        </w:rPr>
        <w:t>- 39 -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B221FA0">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_Toc17636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（二）强化危险废物全过程管理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_Toc17636 \h </w:instrText>
      </w:r>
      <w:r>
        <w:rPr>
          <w:rFonts w:ascii="Times New Roman" w:hAnsi="Times New Roman"/>
          <w:sz w:val="32"/>
          <w:szCs w:val="32"/>
        </w:rPr>
        <w:fldChar w:fldCharType="separate"/>
      </w:r>
      <w:r>
        <w:rPr>
          <w:rFonts w:ascii="Times New Roman" w:hAnsi="Times New Roman"/>
          <w:sz w:val="32"/>
          <w:szCs w:val="32"/>
        </w:rPr>
        <w:t>- 39 -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CD745F5">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_Toc12719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（三）强化其他领域环境风险防范</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_Toc12719 \h </w:instrText>
      </w:r>
      <w:r>
        <w:rPr>
          <w:rFonts w:ascii="Times New Roman" w:hAnsi="Times New Roman"/>
          <w:sz w:val="32"/>
          <w:szCs w:val="32"/>
        </w:rPr>
        <w:fldChar w:fldCharType="separate"/>
      </w:r>
      <w:r>
        <w:rPr>
          <w:rFonts w:ascii="Times New Roman" w:hAnsi="Times New Roman"/>
          <w:sz w:val="32"/>
          <w:szCs w:val="32"/>
        </w:rPr>
        <w:t>- 40 -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D9BE928">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_Toc16121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二、提升森林草原防灭火能力</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_Toc16121 \h </w:instrText>
      </w:r>
      <w:r>
        <w:rPr>
          <w:rFonts w:ascii="Times New Roman" w:hAnsi="Times New Roman"/>
          <w:sz w:val="32"/>
          <w:szCs w:val="32"/>
        </w:rPr>
        <w:fldChar w:fldCharType="separate"/>
      </w:r>
      <w:r>
        <w:rPr>
          <w:rFonts w:ascii="Times New Roman" w:hAnsi="Times New Roman"/>
          <w:sz w:val="32"/>
          <w:szCs w:val="32"/>
        </w:rPr>
        <w:t>- 40 -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720BEDC">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_Toc28167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（一）健全森林草原防灭火防控体系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_Toc28167 \h </w:instrText>
      </w:r>
      <w:r>
        <w:rPr>
          <w:rFonts w:ascii="Times New Roman" w:hAnsi="Times New Roman"/>
          <w:sz w:val="32"/>
          <w:szCs w:val="32"/>
        </w:rPr>
        <w:fldChar w:fldCharType="separate"/>
      </w:r>
      <w:r>
        <w:rPr>
          <w:rFonts w:ascii="Times New Roman" w:hAnsi="Times New Roman"/>
          <w:sz w:val="32"/>
          <w:szCs w:val="32"/>
        </w:rPr>
        <w:t>- 40 -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71E8BBD">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_Toc9800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（二）强化防火能力建设与宣传教育</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_Toc9800 \h </w:instrText>
      </w:r>
      <w:r>
        <w:rPr>
          <w:rFonts w:ascii="Times New Roman" w:hAnsi="Times New Roman"/>
          <w:sz w:val="32"/>
          <w:szCs w:val="32"/>
        </w:rPr>
        <w:fldChar w:fldCharType="separate"/>
      </w:r>
      <w:r>
        <w:rPr>
          <w:rFonts w:ascii="Times New Roman" w:hAnsi="Times New Roman"/>
          <w:sz w:val="32"/>
          <w:szCs w:val="32"/>
        </w:rPr>
        <w:t>- 41 -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8FEAE57">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_Toc3769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三、强化地质灾害综合防治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_Toc3769 \h </w:instrText>
      </w:r>
      <w:r>
        <w:rPr>
          <w:rFonts w:ascii="Times New Roman" w:hAnsi="Times New Roman"/>
          <w:sz w:val="32"/>
          <w:szCs w:val="32"/>
        </w:rPr>
        <w:fldChar w:fldCharType="separate"/>
      </w:r>
      <w:r>
        <w:rPr>
          <w:rFonts w:ascii="Times New Roman" w:hAnsi="Times New Roman"/>
          <w:sz w:val="32"/>
          <w:szCs w:val="32"/>
        </w:rPr>
        <w:t>- 41 -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61F9E4F6">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_Toc15739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（一）加强地质灾害排查与防治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_Toc15739 \h </w:instrText>
      </w:r>
      <w:r>
        <w:rPr>
          <w:rFonts w:ascii="Times New Roman" w:hAnsi="Times New Roman"/>
          <w:sz w:val="32"/>
          <w:szCs w:val="32"/>
        </w:rPr>
        <w:fldChar w:fldCharType="separate"/>
      </w:r>
      <w:r>
        <w:rPr>
          <w:rFonts w:ascii="Times New Roman" w:hAnsi="Times New Roman"/>
          <w:sz w:val="32"/>
          <w:szCs w:val="32"/>
        </w:rPr>
        <w:t>- 41 -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92BE94F">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_Toc26083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（二）加强基层减灾能力建设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_Toc26083 \h </w:instrText>
      </w:r>
      <w:r>
        <w:rPr>
          <w:rFonts w:ascii="Times New Roman" w:hAnsi="Times New Roman"/>
          <w:sz w:val="32"/>
          <w:szCs w:val="32"/>
        </w:rPr>
        <w:fldChar w:fldCharType="separate"/>
      </w:r>
      <w:r>
        <w:rPr>
          <w:rFonts w:ascii="Times New Roman" w:hAnsi="Times New Roman"/>
          <w:sz w:val="32"/>
          <w:szCs w:val="32"/>
        </w:rPr>
        <w:t>- 42 -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46FA1C4">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_Toc18388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四、提升突发环境事件应急处置能力</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_Toc18388 \h </w:instrText>
      </w:r>
      <w:r>
        <w:rPr>
          <w:rFonts w:ascii="Times New Roman" w:hAnsi="Times New Roman"/>
          <w:sz w:val="32"/>
          <w:szCs w:val="32"/>
        </w:rPr>
        <w:fldChar w:fldCharType="separate"/>
      </w:r>
      <w:r>
        <w:rPr>
          <w:rFonts w:ascii="Times New Roman" w:hAnsi="Times New Roman"/>
          <w:sz w:val="32"/>
          <w:szCs w:val="32"/>
        </w:rPr>
        <w:t>- 42 -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18FCABB8">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_Toc25844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第七章 健全生态环境治理体系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_Toc25844 \h </w:instrText>
      </w:r>
      <w:r>
        <w:rPr>
          <w:rFonts w:ascii="Times New Roman" w:hAnsi="Times New Roman"/>
          <w:sz w:val="32"/>
          <w:szCs w:val="32"/>
        </w:rPr>
        <w:fldChar w:fldCharType="separate"/>
      </w:r>
      <w:r>
        <w:rPr>
          <w:rFonts w:ascii="Times New Roman" w:hAnsi="Times New Roman"/>
          <w:sz w:val="32"/>
          <w:szCs w:val="32"/>
        </w:rPr>
        <w:t>- 43 -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347ED312">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_Toc1905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一、持续深化生态文明体制改革</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_Toc1905 \h </w:instrText>
      </w:r>
      <w:r>
        <w:rPr>
          <w:rFonts w:ascii="Times New Roman" w:hAnsi="Times New Roman"/>
          <w:sz w:val="32"/>
          <w:szCs w:val="32"/>
        </w:rPr>
        <w:fldChar w:fldCharType="separate"/>
      </w:r>
      <w:r>
        <w:rPr>
          <w:rFonts w:ascii="Times New Roman" w:hAnsi="Times New Roman"/>
          <w:sz w:val="32"/>
          <w:szCs w:val="32"/>
        </w:rPr>
        <w:t>- 43 -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80CE62C">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_Toc10833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（一）健全生态环境治理制度体系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_Toc10833 \h </w:instrText>
      </w:r>
      <w:r>
        <w:rPr>
          <w:rFonts w:ascii="Times New Roman" w:hAnsi="Times New Roman"/>
          <w:sz w:val="32"/>
          <w:szCs w:val="32"/>
        </w:rPr>
        <w:fldChar w:fldCharType="separate"/>
      </w:r>
      <w:r>
        <w:rPr>
          <w:rFonts w:ascii="Times New Roman" w:hAnsi="Times New Roman"/>
          <w:sz w:val="32"/>
          <w:szCs w:val="32"/>
        </w:rPr>
        <w:t>- 43 -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67B67A9">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_Toc31447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（二）强化</w:t>
      </w:r>
      <w:r>
        <w:rPr>
          <w:rFonts w:hint="default" w:ascii="Times New Roman" w:hAnsi="Times New Roman" w:eastAsia="楷体" w:cs="楷体"/>
          <w:sz w:val="32"/>
          <w:szCs w:val="32"/>
          <w:lang w:val="en-US" w:eastAsia="zh-CN"/>
        </w:rPr>
        <w:t>生态文明建设法治保障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_Toc31447 \h </w:instrText>
      </w:r>
      <w:r>
        <w:rPr>
          <w:rFonts w:ascii="Times New Roman" w:hAnsi="Times New Roman"/>
          <w:sz w:val="32"/>
          <w:szCs w:val="32"/>
        </w:rPr>
        <w:fldChar w:fldCharType="separate"/>
      </w:r>
      <w:r>
        <w:rPr>
          <w:rFonts w:ascii="Times New Roman" w:hAnsi="Times New Roman"/>
          <w:sz w:val="32"/>
          <w:szCs w:val="32"/>
        </w:rPr>
        <w:t>- 44 -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E259027">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_Toc5441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（三）落实</w:t>
      </w:r>
      <w:r>
        <w:rPr>
          <w:rFonts w:hint="default" w:ascii="Times New Roman" w:hAnsi="Times New Roman" w:eastAsia="楷体" w:cs="楷体"/>
          <w:sz w:val="32"/>
          <w:szCs w:val="32"/>
          <w:lang w:val="en-US" w:eastAsia="zh-CN"/>
        </w:rPr>
        <w:t>生态环境保护督察</w:t>
      </w:r>
      <w:r>
        <w:rPr>
          <w:rFonts w:hint="eastAsia" w:ascii="Times New Roman" w:hAnsi="Times New Roman" w:eastAsia="楷体" w:cs="楷体"/>
          <w:sz w:val="32"/>
          <w:szCs w:val="32"/>
          <w:lang w:val="en-US" w:eastAsia="zh-CN"/>
        </w:rPr>
        <w:t>制度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_Toc5441 \h </w:instrText>
      </w:r>
      <w:r>
        <w:rPr>
          <w:rFonts w:ascii="Times New Roman" w:hAnsi="Times New Roman"/>
          <w:sz w:val="32"/>
          <w:szCs w:val="32"/>
        </w:rPr>
        <w:fldChar w:fldCharType="separate"/>
      </w:r>
      <w:r>
        <w:rPr>
          <w:rFonts w:ascii="Times New Roman" w:hAnsi="Times New Roman"/>
          <w:sz w:val="32"/>
          <w:szCs w:val="32"/>
        </w:rPr>
        <w:t>- 44 -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1114C8D">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_Toc15299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二、健全生态环境治理责任体系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_Toc15299 \h </w:instrText>
      </w:r>
      <w:r>
        <w:rPr>
          <w:rFonts w:ascii="Times New Roman" w:hAnsi="Times New Roman"/>
          <w:sz w:val="32"/>
          <w:szCs w:val="32"/>
        </w:rPr>
        <w:fldChar w:fldCharType="separate"/>
      </w:r>
      <w:r>
        <w:rPr>
          <w:rFonts w:ascii="Times New Roman" w:hAnsi="Times New Roman"/>
          <w:sz w:val="32"/>
          <w:szCs w:val="32"/>
        </w:rPr>
        <w:t>- 45 -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19624F8">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_Toc23022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w:t>
      </w:r>
      <w:r>
        <w:rPr>
          <w:rFonts w:hint="default" w:ascii="Times New Roman" w:hAnsi="Times New Roman" w:eastAsia="楷体" w:cs="楷体"/>
          <w:sz w:val="32"/>
          <w:szCs w:val="32"/>
          <w:lang w:val="en-US" w:eastAsia="zh-CN"/>
        </w:rPr>
        <w:t>健全生态环境保护责任体系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_Toc23022 \h </w:instrText>
      </w:r>
      <w:r>
        <w:rPr>
          <w:rFonts w:ascii="Times New Roman" w:hAnsi="Times New Roman"/>
          <w:sz w:val="32"/>
          <w:szCs w:val="32"/>
        </w:rPr>
        <w:fldChar w:fldCharType="separate"/>
      </w:r>
      <w:r>
        <w:rPr>
          <w:rFonts w:ascii="Times New Roman" w:hAnsi="Times New Roman"/>
          <w:sz w:val="32"/>
          <w:szCs w:val="32"/>
        </w:rPr>
        <w:t>- 45 -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8F44FB8">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_Toc12685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w:t>
      </w:r>
      <w:r>
        <w:rPr>
          <w:rFonts w:hint="default" w:ascii="Times New Roman" w:hAnsi="Times New Roman" w:eastAsia="楷体" w:cs="楷体"/>
          <w:sz w:val="32"/>
          <w:szCs w:val="32"/>
          <w:lang w:val="en-US" w:eastAsia="zh-CN"/>
        </w:rPr>
        <w:t>健全</w:t>
      </w:r>
      <w:r>
        <w:rPr>
          <w:rFonts w:hint="eastAsia" w:ascii="Times New Roman" w:hAnsi="Times New Roman" w:eastAsia="楷体" w:cs="楷体"/>
          <w:sz w:val="32"/>
          <w:szCs w:val="32"/>
          <w:lang w:val="en-US" w:eastAsia="zh-CN"/>
        </w:rPr>
        <w:t>经营者主体责任</w:t>
      </w:r>
      <w:r>
        <w:rPr>
          <w:rFonts w:hint="default" w:ascii="Times New Roman" w:hAnsi="Times New Roman" w:eastAsia="楷体" w:cs="楷体"/>
          <w:sz w:val="32"/>
          <w:szCs w:val="32"/>
          <w:lang w:val="en-US" w:eastAsia="zh-CN"/>
        </w:rPr>
        <w:t>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_Toc12685 \h </w:instrText>
      </w:r>
      <w:r>
        <w:rPr>
          <w:rFonts w:ascii="Times New Roman" w:hAnsi="Times New Roman"/>
          <w:sz w:val="32"/>
          <w:szCs w:val="32"/>
        </w:rPr>
        <w:fldChar w:fldCharType="separate"/>
      </w:r>
      <w:r>
        <w:rPr>
          <w:rFonts w:ascii="Times New Roman" w:hAnsi="Times New Roman"/>
          <w:sz w:val="32"/>
          <w:szCs w:val="32"/>
        </w:rPr>
        <w:t>- 45 -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890172B">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_Toc7872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（三）健全社会监督机制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_Toc7872 \h </w:instrText>
      </w:r>
      <w:r>
        <w:rPr>
          <w:rFonts w:ascii="Times New Roman" w:hAnsi="Times New Roman"/>
          <w:sz w:val="32"/>
          <w:szCs w:val="32"/>
        </w:rPr>
        <w:fldChar w:fldCharType="separate"/>
      </w:r>
      <w:r>
        <w:rPr>
          <w:rFonts w:ascii="Times New Roman" w:hAnsi="Times New Roman"/>
          <w:sz w:val="32"/>
          <w:szCs w:val="32"/>
        </w:rPr>
        <w:t>- 46 -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9F0BDCE">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_Toc7077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三、持续提升生态环境监管效能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_Toc7077 \h </w:instrText>
      </w:r>
      <w:r>
        <w:rPr>
          <w:rFonts w:ascii="Times New Roman" w:hAnsi="Times New Roman"/>
          <w:sz w:val="32"/>
          <w:szCs w:val="32"/>
        </w:rPr>
        <w:fldChar w:fldCharType="separate"/>
      </w:r>
      <w:r>
        <w:rPr>
          <w:rFonts w:ascii="Times New Roman" w:hAnsi="Times New Roman"/>
          <w:sz w:val="32"/>
          <w:szCs w:val="32"/>
        </w:rPr>
        <w:t>- 46 -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5E937AD2">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_Toc13674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（一）持续完善生态环境监测网络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_Toc13674 \h </w:instrText>
      </w:r>
      <w:r>
        <w:rPr>
          <w:rFonts w:ascii="Times New Roman" w:hAnsi="Times New Roman"/>
          <w:sz w:val="32"/>
          <w:szCs w:val="32"/>
        </w:rPr>
        <w:fldChar w:fldCharType="separate"/>
      </w:r>
      <w:r>
        <w:rPr>
          <w:rFonts w:ascii="Times New Roman" w:hAnsi="Times New Roman"/>
          <w:sz w:val="32"/>
          <w:szCs w:val="32"/>
        </w:rPr>
        <w:t>- 46 -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3CCE7AE">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_Toc23792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（二）推动生态环境治理数智化转型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_Toc23792 \h </w:instrText>
      </w:r>
      <w:r>
        <w:rPr>
          <w:rFonts w:ascii="Times New Roman" w:hAnsi="Times New Roman"/>
          <w:sz w:val="32"/>
          <w:szCs w:val="32"/>
        </w:rPr>
        <w:fldChar w:fldCharType="separate"/>
      </w:r>
      <w:r>
        <w:rPr>
          <w:rFonts w:ascii="Times New Roman" w:hAnsi="Times New Roman"/>
          <w:sz w:val="32"/>
          <w:szCs w:val="32"/>
        </w:rPr>
        <w:t>- 47 -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9A56E68">
      <w:pPr>
        <w:pStyle w:val="5"/>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_Toc21838 </w:instrText>
      </w:r>
      <w:r>
        <w:rPr>
          <w:rFonts w:hint="default" w:ascii="Times New Roman" w:hAnsi="Times New Roman" w:cs="Times New Roman"/>
          <w:bCs/>
          <w:sz w:val="32"/>
          <w:szCs w:val="32"/>
          <w:lang w:val="zh-CN"/>
        </w:rPr>
        <w:fldChar w:fldCharType="separate"/>
      </w:r>
      <w:r>
        <w:rPr>
          <w:rFonts w:hint="eastAsia" w:ascii="Times New Roman" w:hAnsi="Times New Roman" w:eastAsia="楷体" w:cs="楷体"/>
          <w:sz w:val="32"/>
          <w:szCs w:val="32"/>
          <w:lang w:val="en-US" w:eastAsia="zh-CN"/>
        </w:rPr>
        <w:t>（三）持续提升生态环境执法效能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_Toc21838 \h </w:instrText>
      </w:r>
      <w:r>
        <w:rPr>
          <w:rFonts w:ascii="Times New Roman" w:hAnsi="Times New Roman"/>
          <w:sz w:val="32"/>
          <w:szCs w:val="32"/>
        </w:rPr>
        <w:fldChar w:fldCharType="separate"/>
      </w:r>
      <w:r>
        <w:rPr>
          <w:rFonts w:ascii="Times New Roman" w:hAnsi="Times New Roman"/>
          <w:sz w:val="32"/>
          <w:szCs w:val="32"/>
        </w:rPr>
        <w:t>- 47 -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3A1D5AB">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_Toc30479 </w:instrText>
      </w:r>
      <w:r>
        <w:rPr>
          <w:rFonts w:hint="default" w:ascii="Times New Roman" w:hAnsi="Times New Roman" w:cs="Times New Roman"/>
          <w:bCs/>
          <w:sz w:val="32"/>
          <w:szCs w:val="32"/>
          <w:lang w:val="zh-CN"/>
        </w:rPr>
        <w:fldChar w:fldCharType="separate"/>
      </w:r>
      <w:r>
        <w:rPr>
          <w:rFonts w:hint="eastAsia" w:ascii="Times New Roman" w:hAnsi="Times New Roman" w:eastAsia="方正小标宋简体" w:cs="方正小标宋简体"/>
          <w:sz w:val="32"/>
          <w:szCs w:val="32"/>
          <w:lang w:val="en-US" w:eastAsia="zh-CN"/>
        </w:rPr>
        <w:t>第八章 保障措施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_Toc30479 \h </w:instrText>
      </w:r>
      <w:r>
        <w:rPr>
          <w:rFonts w:ascii="Times New Roman" w:hAnsi="Times New Roman"/>
          <w:sz w:val="32"/>
          <w:szCs w:val="32"/>
        </w:rPr>
        <w:fldChar w:fldCharType="separate"/>
      </w:r>
      <w:r>
        <w:rPr>
          <w:rFonts w:ascii="Times New Roman" w:hAnsi="Times New Roman"/>
          <w:sz w:val="32"/>
          <w:szCs w:val="32"/>
        </w:rPr>
        <w:t>- 48 -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8791C31">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_Toc10800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一、加强组织领导</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_Toc10800 \h </w:instrText>
      </w:r>
      <w:r>
        <w:rPr>
          <w:rFonts w:ascii="Times New Roman" w:hAnsi="Times New Roman"/>
          <w:sz w:val="32"/>
          <w:szCs w:val="32"/>
        </w:rPr>
        <w:fldChar w:fldCharType="separate"/>
      </w:r>
      <w:r>
        <w:rPr>
          <w:rFonts w:ascii="Times New Roman" w:hAnsi="Times New Roman"/>
          <w:sz w:val="32"/>
          <w:szCs w:val="32"/>
        </w:rPr>
        <w:t>- 48 -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7061D4E1">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_Toc23762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二、夯实资金保障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_Toc23762 \h </w:instrText>
      </w:r>
      <w:r>
        <w:rPr>
          <w:rFonts w:ascii="Times New Roman" w:hAnsi="Times New Roman"/>
          <w:sz w:val="32"/>
          <w:szCs w:val="32"/>
        </w:rPr>
        <w:fldChar w:fldCharType="separate"/>
      </w:r>
      <w:r>
        <w:rPr>
          <w:rFonts w:ascii="Times New Roman" w:hAnsi="Times New Roman"/>
          <w:sz w:val="32"/>
          <w:szCs w:val="32"/>
        </w:rPr>
        <w:t>- 48 -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4D87568F">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_Toc24908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三、开展监测评估</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_Toc24908 \h </w:instrText>
      </w:r>
      <w:r>
        <w:rPr>
          <w:rFonts w:ascii="Times New Roman" w:hAnsi="Times New Roman"/>
          <w:sz w:val="32"/>
          <w:szCs w:val="32"/>
        </w:rPr>
        <w:fldChar w:fldCharType="separate"/>
      </w:r>
      <w:r>
        <w:rPr>
          <w:rFonts w:ascii="Times New Roman" w:hAnsi="Times New Roman"/>
          <w:sz w:val="32"/>
          <w:szCs w:val="32"/>
        </w:rPr>
        <w:t>- 49 -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07D10F5D">
      <w:pPr>
        <w:pStyle w:val="9"/>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_Toc15725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bCs w:val="0"/>
          <w:sz w:val="32"/>
          <w:szCs w:val="32"/>
          <w:highlight w:val="none"/>
          <w:lang w:val="en-US" w:eastAsia="zh-CN" w:bidi="ar-SA"/>
        </w:rPr>
        <w:t>四、深化宣传引导</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_Toc15725 \h </w:instrText>
      </w:r>
      <w:r>
        <w:rPr>
          <w:rFonts w:ascii="Times New Roman" w:hAnsi="Times New Roman"/>
          <w:sz w:val="32"/>
          <w:szCs w:val="32"/>
        </w:rPr>
        <w:fldChar w:fldCharType="separate"/>
      </w:r>
      <w:r>
        <w:rPr>
          <w:rFonts w:ascii="Times New Roman" w:hAnsi="Times New Roman"/>
          <w:sz w:val="32"/>
          <w:szCs w:val="32"/>
        </w:rPr>
        <w:t>- 49 -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6CD0749">
      <w:pPr>
        <w:pStyle w:val="7"/>
        <w:tabs>
          <w:tab w:val="right" w:leader="dot" w:pos="8845"/>
        </w:tabs>
        <w:rPr>
          <w:rFonts w:ascii="Times New Roman" w:hAnsi="Times New Roman"/>
          <w:sz w:val="32"/>
          <w:szCs w:val="32"/>
        </w:rPr>
      </w:pPr>
      <w:r>
        <w:rPr>
          <w:rFonts w:hint="default" w:ascii="Times New Roman" w:hAnsi="Times New Roman" w:cs="Times New Roman"/>
          <w:bCs/>
          <w:sz w:val="32"/>
          <w:szCs w:val="32"/>
          <w:lang w:val="zh-CN"/>
        </w:rPr>
        <w:fldChar w:fldCharType="begin"/>
      </w:r>
      <w:r>
        <w:rPr>
          <w:rFonts w:hint="default" w:ascii="Times New Roman" w:hAnsi="Times New Roman" w:cs="Times New Roman"/>
          <w:bCs/>
          <w:sz w:val="32"/>
          <w:szCs w:val="32"/>
          <w:lang w:val="zh-CN"/>
        </w:rPr>
        <w:instrText xml:space="preserve"> HYPERLINK \l _Toc28745 </w:instrText>
      </w:r>
      <w:r>
        <w:rPr>
          <w:rFonts w:hint="default" w:ascii="Times New Roman" w:hAnsi="Times New Roman" w:cs="Times New Roman"/>
          <w:bCs/>
          <w:sz w:val="32"/>
          <w:szCs w:val="32"/>
          <w:lang w:val="zh-CN"/>
        </w:rPr>
        <w:fldChar w:fldCharType="separate"/>
      </w:r>
      <w:r>
        <w:rPr>
          <w:rFonts w:hint="eastAsia" w:ascii="Times New Roman" w:hAnsi="Times New Roman" w:eastAsia="黑体" w:cs="黑体"/>
          <w:sz w:val="32"/>
          <w:szCs w:val="32"/>
          <w:lang w:val="en-US" w:eastAsia="zh-CN"/>
        </w:rPr>
        <w:t>附件1丁青县“十五五”生态环境保护规划重点项目清单</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_Toc28745 \h </w:instrText>
      </w:r>
      <w:r>
        <w:rPr>
          <w:rFonts w:ascii="Times New Roman" w:hAnsi="Times New Roman"/>
          <w:sz w:val="32"/>
          <w:szCs w:val="32"/>
        </w:rPr>
        <w:fldChar w:fldCharType="separate"/>
      </w:r>
      <w:r>
        <w:rPr>
          <w:rFonts w:ascii="Times New Roman" w:hAnsi="Times New Roman"/>
          <w:sz w:val="32"/>
          <w:szCs w:val="32"/>
        </w:rPr>
        <w:t>- 50 -</w:t>
      </w:r>
      <w:r>
        <w:rPr>
          <w:rFonts w:ascii="Times New Roman" w:hAnsi="Times New Roman"/>
          <w:sz w:val="32"/>
          <w:szCs w:val="32"/>
        </w:rPr>
        <w:fldChar w:fldCharType="end"/>
      </w:r>
      <w:r>
        <w:rPr>
          <w:rFonts w:hint="default" w:ascii="Times New Roman" w:hAnsi="Times New Roman" w:cs="Times New Roman"/>
          <w:bCs/>
          <w:sz w:val="32"/>
          <w:szCs w:val="32"/>
          <w:lang w:val="zh-CN"/>
        </w:rPr>
        <w:fldChar w:fldCharType="end"/>
      </w:r>
    </w:p>
    <w:p w14:paraId="2E5475C4">
      <w:pPr>
        <w:pStyle w:val="14"/>
        <w:keepNext/>
        <w:keepLines/>
        <w:pageBreakBefore w:val="0"/>
        <w:widowControl/>
        <w:kinsoku/>
        <w:wordWrap/>
        <w:overflowPunct/>
        <w:topLinePunct w:val="0"/>
        <w:autoSpaceDE/>
        <w:autoSpaceDN/>
        <w:bidi w:val="0"/>
        <w:adjustRightInd/>
        <w:snapToGrid/>
        <w:spacing w:before="0" w:after="0" w:line="400" w:lineRule="exact"/>
        <w:ind w:firstLine="440" w:firstLineChars="200"/>
        <w:jc w:val="center"/>
        <w:textAlignment w:val="auto"/>
        <w:rPr>
          <w:rFonts w:hint="default" w:ascii="Times New Roman" w:hAnsi="Times New Roman" w:cs="Times New Roman"/>
          <w:sz w:val="22"/>
          <w:szCs w:val="22"/>
        </w:rPr>
        <w:sectPr>
          <w:footerReference r:id="rId8" w:type="first"/>
          <w:footerReference r:id="rId6" w:type="default"/>
          <w:footerReference r:id="rId7" w:type="even"/>
          <w:pgSz w:w="11906" w:h="16838"/>
          <w:pgMar w:top="2098" w:right="1474" w:bottom="1984" w:left="1587" w:header="851" w:footer="992" w:gutter="0"/>
          <w:pgNumType w:fmt="upperRoman" w:start="1"/>
          <w:cols w:space="720" w:num="1"/>
          <w:titlePg/>
          <w:docGrid w:type="lines" w:linePitch="312" w:charSpace="0"/>
        </w:sectPr>
      </w:pPr>
      <w:r>
        <w:rPr>
          <w:rFonts w:hint="default" w:ascii="Times New Roman" w:hAnsi="Times New Roman" w:cs="Times New Roman"/>
          <w:bCs/>
          <w:sz w:val="22"/>
          <w:szCs w:val="22"/>
          <w:lang w:val="zh-CN"/>
        </w:rPr>
        <w:fldChar w:fldCharType="end"/>
      </w:r>
    </w:p>
    <w:p w14:paraId="53903066">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Times New Roman" w:hAnsi="Times New Roman" w:eastAsia="仿宋_GB2312" w:cs="仿宋_GB2312"/>
          <w:spacing w:val="-6"/>
          <w:sz w:val="32"/>
          <w:szCs w:val="32"/>
          <w:lang w:eastAsia="zh-CN"/>
        </w:rPr>
      </w:pPr>
      <w:bookmarkStart w:id="0" w:name="_Toc32334"/>
      <w:bookmarkStart w:id="1" w:name="_Toc12521"/>
      <w:bookmarkStart w:id="2" w:name="_Toc7363"/>
      <w:bookmarkStart w:id="3" w:name="_Toc2578"/>
      <w:r>
        <w:rPr>
          <w:rFonts w:hint="eastAsia" w:ascii="Times New Roman" w:hAnsi="Times New Roman" w:eastAsia="仿宋_GB2312" w:cs="仿宋_GB2312"/>
          <w:spacing w:val="0"/>
          <w:sz w:val="32"/>
          <w:szCs w:val="32"/>
        </w:rPr>
        <w:t>为深入贯彻落实习近平生态文明思想，全面落实习近平总书记关于西藏工作的重要指示和新时代党的治藏方略，统筹推进“十五五”美丽丁青建设，助力建设“一切向东，建设长治久安和高质量发展先行县”，奋力谱写丁青县高质量发展、高水平保护新篇章，打造美丽昌都丁青样板，根据《“十五五”美丽昌都建设规划》《丁青县国民经济和社会发展第十五个五年规划纲要》要求，特制定本规划</w:t>
      </w:r>
      <w:r>
        <w:rPr>
          <w:rFonts w:hint="eastAsia" w:ascii="Times New Roman" w:hAnsi="Times New Roman" w:eastAsia="仿宋_GB2312" w:cs="仿宋_GB2312"/>
          <w:spacing w:val="-6"/>
          <w:sz w:val="32"/>
          <w:szCs w:val="32"/>
          <w:lang w:eastAsia="zh-CN"/>
        </w:rPr>
        <w:t>。</w:t>
      </w:r>
    </w:p>
    <w:p w14:paraId="3BC4BE0F">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rPr>
      </w:pPr>
      <w:bookmarkStart w:id="4" w:name="_Toc32020"/>
      <w:r>
        <w:rPr>
          <w:rFonts w:hint="eastAsia" w:ascii="方正小标宋简体" w:hAnsi="方正小标宋简体" w:eastAsia="方正小标宋简体" w:cs="方正小标宋简体"/>
          <w:sz w:val="32"/>
          <w:szCs w:val="32"/>
          <w:lang w:val="en-US" w:eastAsia="zh-CN"/>
        </w:rPr>
        <w:t xml:space="preserve"> </w:t>
      </w:r>
      <w:bookmarkStart w:id="5" w:name="_Toc21622"/>
      <w:r>
        <w:rPr>
          <w:rFonts w:hint="eastAsia" w:ascii="方正小标宋简体" w:hAnsi="方正小标宋简体" w:eastAsia="方正小标宋简体" w:cs="方正小标宋简体"/>
          <w:sz w:val="32"/>
          <w:szCs w:val="32"/>
          <w:lang w:val="en-US" w:eastAsia="zh-CN"/>
        </w:rPr>
        <w:t>基础与形势</w:t>
      </w:r>
      <w:bookmarkEnd w:id="0"/>
      <w:bookmarkEnd w:id="1"/>
      <w:bookmarkEnd w:id="4"/>
      <w:bookmarkEnd w:id="5"/>
    </w:p>
    <w:p w14:paraId="2B7E273E">
      <w:pPr>
        <w:keepNext w:val="0"/>
        <w:keepLines w:val="0"/>
        <w:pageBreakBefore w:val="0"/>
        <w:widowControl w:val="0"/>
        <w:kinsoku/>
        <w:wordWrap/>
        <w:overflowPunct/>
        <w:topLinePunct w:val="0"/>
        <w:autoSpaceDE/>
        <w:autoSpaceDN/>
        <w:bidi w:val="0"/>
        <w:snapToGrid/>
        <w:spacing w:line="560" w:lineRule="exact"/>
        <w:ind w:firstLine="616" w:firstLineChars="200"/>
        <w:textAlignment w:val="auto"/>
        <w:rPr>
          <w:rFonts w:hint="default" w:eastAsia="宋体"/>
          <w:lang w:val="en-US" w:eastAsia="zh-CN"/>
        </w:rPr>
      </w:pPr>
      <w:r>
        <w:rPr>
          <w:rFonts w:hint="eastAsia" w:ascii="Times New Roman" w:hAnsi="Times New Roman" w:eastAsia="仿宋_GB2312" w:cs="仿宋_GB2312"/>
          <w:spacing w:val="-6"/>
          <w:sz w:val="32"/>
          <w:szCs w:val="32"/>
          <w:lang w:eastAsia="zh-CN"/>
        </w:rPr>
        <w:t>“十四五”期间，丁青县坚持以习近平生态文明思想为指导，紧扣国家生态文明高地创建战略部署，严格</w:t>
      </w:r>
      <w:r>
        <w:rPr>
          <w:rFonts w:hint="eastAsia" w:ascii="Times New Roman" w:hAnsi="Times New Roman" w:eastAsia="仿宋_GB2312" w:cs="仿宋_GB2312"/>
          <w:spacing w:val="-6"/>
          <w:sz w:val="32"/>
          <w:szCs w:val="32"/>
          <w:lang w:val="en-US" w:eastAsia="zh-CN"/>
        </w:rPr>
        <w:t>落实</w:t>
      </w:r>
      <w:r>
        <w:rPr>
          <w:rFonts w:hint="eastAsia" w:ascii="Times New Roman" w:hAnsi="Times New Roman" w:eastAsia="仿宋_GB2312" w:cs="仿宋_GB2312"/>
          <w:spacing w:val="-6"/>
          <w:sz w:val="32"/>
          <w:szCs w:val="32"/>
          <w:lang w:eastAsia="zh-CN"/>
        </w:rPr>
        <w:t>昌都市“一切向东，建设长治久安和高质量发展引领示范市”工作目标，一体推动生态环境保护督察问题整改、国家重点生态功能区保护、环境污染防治等工作，生态环境质量稳定性不断增加，绿色低碳发展加快推进，生态环境治理体系不断健全，成功创建为国家生态文明建设示范区</w:t>
      </w:r>
      <w:r>
        <w:rPr>
          <w:rFonts w:hint="eastAsia" w:ascii="Times New Roman" w:hAnsi="Times New Roman" w:eastAsia="仿宋_GB2312" w:cs="仿宋_GB2312"/>
          <w:spacing w:val="-6"/>
          <w:sz w:val="32"/>
          <w:szCs w:val="32"/>
          <w:lang w:val="en-US" w:eastAsia="zh-CN"/>
        </w:rPr>
        <w:t>。</w:t>
      </w:r>
    </w:p>
    <w:p w14:paraId="6A6A1AF4">
      <w:pPr>
        <w:pStyle w:val="4"/>
        <w:keepNext/>
        <w:keepLines/>
        <w:pageBreakBefore w:val="0"/>
        <w:widowControl w:val="0"/>
        <w:numPr>
          <w:ilvl w:val="0"/>
          <w:numId w:val="3"/>
        </w:numPr>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6" w:name="_Toc18470"/>
      <w:r>
        <w:rPr>
          <w:rFonts w:hint="eastAsia" w:ascii="黑体" w:hAnsi="黑体" w:eastAsia="黑体" w:cs="黑体"/>
          <w:b w:val="0"/>
          <w:bCs w:val="0"/>
          <w:color w:val="auto"/>
          <w:sz w:val="32"/>
          <w:szCs w:val="32"/>
          <w:highlight w:val="none"/>
          <w:lang w:val="en-US" w:eastAsia="zh-CN" w:bidi="ar-SA"/>
        </w:rPr>
        <w:t>美丽丁青建设基础扎实</w:t>
      </w:r>
      <w:bookmarkEnd w:id="6"/>
    </w:p>
    <w:p w14:paraId="54438E21">
      <w:pPr>
        <w:keepNext w:val="0"/>
        <w:keepLines w:val="0"/>
        <w:pageBreakBefore w:val="0"/>
        <w:widowControl w:val="0"/>
        <w:kinsoku/>
        <w:wordWrap/>
        <w:overflowPunct/>
        <w:topLinePunct w:val="0"/>
        <w:autoSpaceDE/>
        <w:autoSpaceDN/>
        <w:bidi w:val="0"/>
        <w:snapToGrid/>
        <w:spacing w:line="560" w:lineRule="exact"/>
        <w:ind w:firstLine="619"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lang w:val="en-US" w:eastAsia="zh-CN"/>
        </w:rPr>
        <w:t>绿色低碳转型提质增效</w:t>
      </w:r>
      <w:r>
        <w:rPr>
          <w:rFonts w:hint="eastAsia" w:ascii="Times New Roman" w:hAnsi="Times New Roman" w:eastAsia="仿宋_GB2312" w:cs="仿宋_GB2312"/>
          <w:spacing w:val="-6"/>
          <w:sz w:val="32"/>
          <w:szCs w:val="32"/>
          <w:lang w:val="en-US" w:eastAsia="zh-CN"/>
        </w:rPr>
        <w:t>。</w:t>
      </w:r>
      <w:r>
        <w:rPr>
          <w:rFonts w:hint="eastAsia" w:ascii="Times New Roman" w:hAnsi="Times New Roman" w:eastAsia="仿宋_GB2312" w:cs="仿宋_GB2312"/>
          <w:b/>
          <w:bCs/>
          <w:spacing w:val="-6"/>
          <w:sz w:val="32"/>
          <w:szCs w:val="32"/>
          <w:lang w:val="en-US" w:eastAsia="zh-CN"/>
        </w:rPr>
        <w:t>一是特色农牧业现代化提速增质</w:t>
      </w:r>
      <w:r>
        <w:rPr>
          <w:rFonts w:hint="eastAsia" w:ascii="Times New Roman" w:hAnsi="Times New Roman" w:eastAsia="仿宋_GB2312" w:cs="仿宋_GB2312"/>
          <w:spacing w:val="-6"/>
          <w:sz w:val="32"/>
          <w:szCs w:val="32"/>
          <w:lang w:val="en-US" w:eastAsia="zh-CN"/>
        </w:rPr>
        <w:t>。牢牢守住粮食安全底线，建成高标准农田16.34万亩，粮食播种面积稳定在12万亩以上，粮食产量连年稳定在4万吨以上，牲畜存栏量稳定在21万头（只、匹），荣获自治区农业、牧业“双强县”称号。丁青小蓝青稞、野生杏仁、杏仁油获得生态原产地产品保护证书，丁青玫瑰通过全国名特优新农产品认证。</w:t>
      </w:r>
      <w:r>
        <w:rPr>
          <w:rFonts w:hint="eastAsia" w:ascii="Times New Roman" w:hAnsi="Times New Roman" w:eastAsia="仿宋_GB2312" w:cs="仿宋_GB2312"/>
          <w:b/>
          <w:bCs/>
          <w:spacing w:val="-6"/>
          <w:sz w:val="32"/>
          <w:szCs w:val="32"/>
          <w:lang w:val="en-US" w:eastAsia="zh-CN"/>
        </w:rPr>
        <w:t>二是</w:t>
      </w:r>
      <w:r>
        <w:rPr>
          <w:rFonts w:hint="eastAsia" w:ascii="Times New Roman" w:hAnsi="Times New Roman" w:eastAsia="仿宋_GB2312" w:cs="仿宋_GB2312"/>
          <w:b/>
          <w:bCs/>
          <w:color w:val="auto"/>
          <w:spacing w:val="-6"/>
          <w:sz w:val="32"/>
          <w:szCs w:val="32"/>
          <w:lang w:val="en-US" w:eastAsia="zh-CN"/>
        </w:rPr>
        <w:t>农文旅商融合成效显著。</w:t>
      </w:r>
      <w:r>
        <w:rPr>
          <w:rFonts w:hint="eastAsia" w:ascii="Times New Roman" w:hAnsi="Times New Roman" w:eastAsia="仿宋_GB2312" w:cs="仿宋_GB2312"/>
          <w:spacing w:val="-6"/>
          <w:sz w:val="32"/>
          <w:szCs w:val="32"/>
          <w:lang w:val="en-US" w:eastAsia="zh-CN"/>
        </w:rPr>
        <w:t>积极推进布托湖国家湿地公园、3A级国家旅游景区建设，布托湖获批国家湿地公园，天穹孜珠景区创成国家4A级旅游景区。编制《丁青县国道317沿线农牧文旅深度融合发展规划》，112人参与“最大规模的唐卡同步绘制”获吉尼斯世界纪录，丁青热巴舞登上2025年春晚舞台，2025年接待游客38.7万人次、旅游总收入达7352.8万元，分别增长138.45%、497.24%。</w:t>
      </w:r>
      <w:r>
        <w:rPr>
          <w:rFonts w:hint="eastAsia" w:ascii="Times New Roman" w:hAnsi="Times New Roman" w:eastAsia="仿宋_GB2312" w:cs="仿宋_GB2312"/>
          <w:b/>
          <w:bCs/>
          <w:spacing w:val="-6"/>
          <w:sz w:val="32"/>
          <w:szCs w:val="32"/>
          <w:lang w:val="en-US" w:eastAsia="zh-CN"/>
        </w:rPr>
        <w:t>三是构建清洁能源发展格局。</w:t>
      </w:r>
      <w:r>
        <w:rPr>
          <w:rFonts w:hint="eastAsia" w:ascii="Times New Roman" w:hAnsi="Times New Roman" w:eastAsia="仿宋_GB2312" w:cs="仿宋_GB2312"/>
          <w:spacing w:val="-6"/>
          <w:sz w:val="32"/>
          <w:szCs w:val="32"/>
          <w:lang w:val="en-US" w:eastAsia="zh-CN"/>
        </w:rPr>
        <w:t>参与建设金沙江上游清洁能源基地330万kW伏项目、中华电金上公司260万kW光伏项目、金沙江上游清洁能源基地70万kW光伏竞配项目，成功建成布塔乡、木塔乡光伏惠民项目，预计年发电量达280万千瓦时，测光测风顺利展开，形成多元化能源供给体系。</w:t>
      </w:r>
      <w:r>
        <w:rPr>
          <w:rFonts w:hint="eastAsia" w:ascii="Times New Roman" w:hAnsi="Times New Roman" w:eastAsia="仿宋_GB2312" w:cs="仿宋_GB2312"/>
          <w:b/>
          <w:bCs/>
          <w:spacing w:val="-6"/>
          <w:sz w:val="32"/>
          <w:szCs w:val="32"/>
          <w:lang w:val="en-US" w:eastAsia="zh-CN"/>
        </w:rPr>
        <w:t>四是推动绿色工业稳步发展</w:t>
      </w:r>
      <w:r>
        <w:rPr>
          <w:rFonts w:hint="eastAsia" w:ascii="Times New Roman" w:hAnsi="Times New Roman" w:eastAsia="仿宋_GB2312" w:cs="仿宋_GB2312"/>
          <w:spacing w:val="-6"/>
          <w:sz w:val="32"/>
          <w:szCs w:val="32"/>
          <w:lang w:val="en-US" w:eastAsia="zh-CN"/>
        </w:rPr>
        <w:t>。严格产业环境准入管理，严格控制高耗能、高排放项目，保持“两高一低”项目零引进、零审批。积极推进节能减碳工作，丁青县供暖工程完成煤改电工程。</w:t>
      </w:r>
      <w:r>
        <w:rPr>
          <w:rFonts w:hint="eastAsia" w:ascii="Times New Roman" w:hAnsi="Times New Roman" w:eastAsia="仿宋_GB2312" w:cs="仿宋_GB2312"/>
          <w:b/>
          <w:bCs/>
          <w:spacing w:val="-6"/>
          <w:sz w:val="32"/>
          <w:szCs w:val="32"/>
          <w:lang w:val="en-US" w:eastAsia="zh-CN"/>
        </w:rPr>
        <w:t>五是推动生态惠民生态利民</w:t>
      </w:r>
      <w:r>
        <w:rPr>
          <w:rFonts w:hint="eastAsia" w:ascii="Times New Roman" w:hAnsi="Times New Roman" w:eastAsia="仿宋_GB2312" w:cs="仿宋_GB2312"/>
          <w:spacing w:val="-6"/>
          <w:sz w:val="32"/>
          <w:szCs w:val="32"/>
          <w:lang w:val="en-US" w:eastAsia="zh-CN"/>
        </w:rPr>
        <w:t>。完善生态补偿机制，设置生态岗位18095个，年发放补助近8000万元，年发放草原生态补助奖励资金7500万元，1.2万户群众端稳“生态饭碗”。</w:t>
      </w:r>
    </w:p>
    <w:p w14:paraId="27DD0A3C">
      <w:pPr>
        <w:keepNext w:val="0"/>
        <w:keepLines w:val="0"/>
        <w:pageBreakBefore w:val="0"/>
        <w:widowControl w:val="0"/>
        <w:kinsoku/>
        <w:wordWrap/>
        <w:overflowPunct/>
        <w:topLinePunct w:val="0"/>
        <w:autoSpaceDE/>
        <w:autoSpaceDN/>
        <w:bidi w:val="0"/>
        <w:snapToGrid/>
        <w:spacing w:line="560" w:lineRule="exact"/>
        <w:ind w:firstLine="619" w:firstLineChars="200"/>
        <w:textAlignment w:val="auto"/>
        <w:rPr>
          <w:rFonts w:hint="eastAsia"/>
          <w:lang w:val="en-US" w:eastAsia="zh-CN"/>
        </w:rPr>
      </w:pPr>
      <w:r>
        <w:rPr>
          <w:rFonts w:hint="eastAsia" w:ascii="Times New Roman" w:hAnsi="Times New Roman" w:eastAsia="仿宋_GB2312" w:cs="仿宋_GB2312"/>
          <w:b/>
          <w:bCs/>
          <w:spacing w:val="-6"/>
          <w:sz w:val="32"/>
          <w:szCs w:val="32"/>
          <w:lang w:val="en-US" w:eastAsia="zh-CN"/>
        </w:rPr>
        <w:t>污染防治攻坚战成效显著</w:t>
      </w:r>
      <w:r>
        <w:rPr>
          <w:rFonts w:hint="eastAsia" w:ascii="Times New Roman" w:hAnsi="Times New Roman" w:eastAsia="仿宋_GB2312" w:cs="仿宋_GB2312"/>
          <w:spacing w:val="-6"/>
          <w:sz w:val="32"/>
          <w:szCs w:val="32"/>
          <w:lang w:val="en-US" w:eastAsia="zh-CN"/>
        </w:rPr>
        <w:t>。</w:t>
      </w:r>
      <w:r>
        <w:rPr>
          <w:rFonts w:hint="eastAsia" w:ascii="Times New Roman" w:hAnsi="Times New Roman" w:eastAsia="仿宋_GB2312" w:cs="仿宋_GB2312"/>
          <w:b/>
          <w:bCs/>
          <w:spacing w:val="-6"/>
          <w:sz w:val="32"/>
          <w:szCs w:val="32"/>
          <w:lang w:val="en-US" w:eastAsia="zh-CN"/>
        </w:rPr>
        <w:t>一是深入打好蓝天保卫战</w:t>
      </w:r>
      <w:r>
        <w:rPr>
          <w:rFonts w:hint="eastAsia" w:ascii="Times New Roman" w:hAnsi="Times New Roman" w:eastAsia="仿宋_GB2312" w:cs="仿宋_GB2312"/>
          <w:spacing w:val="-6"/>
          <w:sz w:val="32"/>
          <w:szCs w:val="32"/>
          <w:lang w:val="en-US" w:eastAsia="zh-CN"/>
        </w:rPr>
        <w:t>。实施空气质量改善行动，深化工业、交通、扬尘、生活污染防治。严厉打击无证运输、超载超限、沿途抛洒等违法行为，检查运输车378车次，累计编码登记非道路移动机械62辆，空气质量优良天数比率达到100%。</w:t>
      </w:r>
      <w:r>
        <w:rPr>
          <w:rFonts w:hint="eastAsia" w:ascii="Times New Roman" w:hAnsi="Times New Roman" w:eastAsia="仿宋_GB2312" w:cs="仿宋_GB2312"/>
          <w:b/>
          <w:bCs/>
          <w:spacing w:val="-6"/>
          <w:sz w:val="32"/>
          <w:szCs w:val="32"/>
          <w:lang w:val="en-US" w:eastAsia="zh-CN"/>
        </w:rPr>
        <w:t>二是深入打好碧水保卫战</w:t>
      </w:r>
      <w:r>
        <w:rPr>
          <w:rFonts w:hint="eastAsia" w:ascii="Times New Roman" w:hAnsi="Times New Roman" w:eastAsia="仿宋_GB2312" w:cs="仿宋_GB2312"/>
          <w:spacing w:val="-6"/>
          <w:sz w:val="32"/>
          <w:szCs w:val="32"/>
          <w:lang w:val="en-US" w:eastAsia="zh-CN"/>
        </w:rPr>
        <w:t>。实施《昌都市重点流域水生态环境保护规划（2024—2025年）》，完成14个入河排污口排查工作，主要江河湖泊水质达到或优于Ⅲ类水体比例100%。雍达曲-卸曲、热曲成功创建2025年度自治区级幸福河湖。强化城镇集中式饮用水水源地保护，城镇集中式饮用水水源地水质达标率保持100%。</w:t>
      </w:r>
      <w:r>
        <w:rPr>
          <w:rFonts w:hint="eastAsia" w:ascii="Times New Roman" w:hAnsi="Times New Roman" w:eastAsia="仿宋_GB2312" w:cs="仿宋_GB2312"/>
          <w:b/>
          <w:bCs/>
          <w:spacing w:val="-6"/>
          <w:sz w:val="32"/>
          <w:szCs w:val="32"/>
          <w:lang w:val="en-US" w:eastAsia="zh-CN"/>
        </w:rPr>
        <w:t>三是深入打好净土保卫战。</w:t>
      </w:r>
      <w:r>
        <w:rPr>
          <w:rFonts w:hint="eastAsia" w:ascii="Times New Roman" w:hAnsi="Times New Roman" w:eastAsia="仿宋_GB2312" w:cs="仿宋_GB2312"/>
          <w:spacing w:val="-6"/>
          <w:sz w:val="32"/>
          <w:szCs w:val="32"/>
          <w:lang w:val="en-US" w:eastAsia="zh-CN"/>
        </w:rPr>
        <w:t>落实“一住两公”建设用地土壤污染状况调查制度，完成78个地块土壤污染状况调查，开展土壤污染隐患企业排查“回头看”工作，受污染耕地安全利用率达到93%，重点建设用地安全利用率保持100%。</w:t>
      </w:r>
      <w:r>
        <w:rPr>
          <w:rFonts w:hint="eastAsia" w:ascii="Times New Roman" w:hAnsi="Times New Roman" w:eastAsia="仿宋_GB2312" w:cs="仿宋_GB2312"/>
          <w:b/>
          <w:bCs/>
          <w:spacing w:val="-6"/>
          <w:sz w:val="32"/>
          <w:szCs w:val="32"/>
          <w:lang w:val="en-US" w:eastAsia="zh-CN"/>
        </w:rPr>
        <w:t>四是强化固体废物管理与治理</w:t>
      </w:r>
      <w:r>
        <w:rPr>
          <w:rFonts w:hint="eastAsia" w:ascii="Times New Roman" w:hAnsi="Times New Roman" w:eastAsia="仿宋_GB2312" w:cs="仿宋_GB2312"/>
          <w:spacing w:val="-6"/>
          <w:sz w:val="32"/>
          <w:szCs w:val="32"/>
          <w:lang w:val="en-US" w:eastAsia="zh-CN"/>
        </w:rPr>
        <w:t>。深入推进“无废城市”建设，建立联席会议、定期调度等工作机制，建成7个“无废城市细胞”，完成4家企业危险废物规范化管理现场评估，城镇生活垃圾无害化处置率、城镇污水污泥无害化处置率、医疗废物安全处置率、危险废物安全处置率均实现100%。</w:t>
      </w:r>
      <w:r>
        <w:rPr>
          <w:rFonts w:hint="eastAsia" w:ascii="Times New Roman" w:hAnsi="Times New Roman" w:eastAsia="仿宋_GB2312" w:cs="仿宋_GB2312"/>
          <w:b/>
          <w:bCs/>
          <w:spacing w:val="-6"/>
          <w:sz w:val="32"/>
          <w:szCs w:val="32"/>
          <w:lang w:val="en-US" w:eastAsia="zh-CN"/>
        </w:rPr>
        <w:t>五是</w:t>
      </w:r>
      <w:r>
        <w:rPr>
          <w:rFonts w:hint="eastAsia" w:ascii="Times New Roman" w:hAnsi="Times New Roman" w:eastAsia="仿宋_GB2312" w:cs="仿宋_GB2312"/>
          <w:b/>
          <w:bCs/>
          <w:sz w:val="32"/>
          <w:szCs w:val="32"/>
          <w:lang w:val="en-US" w:eastAsia="zh-CN"/>
        </w:rPr>
        <w:t>实施农村人居环境整治提升行动。</w:t>
      </w:r>
      <w:r>
        <w:rPr>
          <w:rFonts w:hint="eastAsia" w:ascii="Times New Roman" w:hAnsi="Times New Roman" w:eastAsia="仿宋_GB2312" w:cs="仿宋_GB2312"/>
          <w:sz w:val="32"/>
          <w:szCs w:val="32"/>
          <w:lang w:val="en-US" w:eastAsia="zh-CN"/>
        </w:rPr>
        <w:t>投资近4亿元打造21</w:t>
      </w:r>
      <w:r>
        <w:rPr>
          <w:rFonts w:hint="eastAsia" w:ascii="Times New Roman" w:hAnsi="Times New Roman" w:eastAsia="仿宋_GB2312" w:cs="仿宋_GB2312"/>
          <w:sz w:val="32"/>
          <w:szCs w:val="32"/>
        </w:rPr>
        <w:t>个美丽宜居示范村</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截至2025年，投入资金1031.75万元，累计实施户厕改造4127户；投入资金2223.2万元，累计实施人畜分离2858户，户厕改造率、人畜分离率均达100%。</w:t>
      </w:r>
      <w:r>
        <w:rPr>
          <w:rFonts w:hint="eastAsia" w:ascii="Times New Roman" w:hAnsi="Times New Roman" w:eastAsia="仿宋_GB2312" w:cs="仿宋_GB2312"/>
          <w:spacing w:val="-6"/>
          <w:sz w:val="32"/>
          <w:szCs w:val="32"/>
          <w:lang w:val="en-US" w:eastAsia="zh-CN"/>
        </w:rPr>
        <w:t>建成农村饮水安全工程211处，供水保障率达95%，解决了9.32万人的饮水安全问题。</w:t>
      </w:r>
    </w:p>
    <w:p w14:paraId="0A35E90E">
      <w:pPr>
        <w:keepNext w:val="0"/>
        <w:keepLines w:val="0"/>
        <w:pageBreakBefore w:val="0"/>
        <w:widowControl w:val="0"/>
        <w:kinsoku/>
        <w:wordWrap/>
        <w:overflowPunct/>
        <w:topLinePunct w:val="0"/>
        <w:autoSpaceDE/>
        <w:autoSpaceDN/>
        <w:bidi w:val="0"/>
        <w:snapToGrid/>
        <w:spacing w:line="560" w:lineRule="exact"/>
        <w:ind w:firstLine="619"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lang w:val="en-US" w:eastAsia="zh-CN"/>
        </w:rPr>
        <w:t>生态系统保护与修复取得积极进展。一是强化生态空间管控。</w:t>
      </w:r>
      <w:r>
        <w:rPr>
          <w:rFonts w:hint="eastAsia" w:ascii="Times New Roman" w:hAnsi="Times New Roman" w:eastAsia="仿宋_GB2312" w:cs="仿宋_GB2312"/>
          <w:spacing w:val="-6"/>
          <w:sz w:val="32"/>
          <w:szCs w:val="32"/>
          <w:lang w:val="en-US" w:eastAsia="zh-CN"/>
        </w:rPr>
        <w:t>《丁青县国土空间总体规划（2021—2035年）》获批，57个“多规合一”实用性村庄规划和4个乡（镇）级国土空间总体规划顺利编制。划定4538.2288平方千米生态保护红线、11558.98公顷自然保护地、18.7159万亩永久基本农田。严格落实“三线一单”生态环境分区管控要求，坚决杜绝违规占用、扰动生态空间行为。</w:t>
      </w:r>
      <w:r>
        <w:rPr>
          <w:rFonts w:hint="eastAsia" w:ascii="Times New Roman" w:hAnsi="Times New Roman" w:eastAsia="仿宋_GB2312" w:cs="仿宋_GB2312"/>
          <w:b/>
          <w:bCs/>
          <w:spacing w:val="-6"/>
          <w:sz w:val="32"/>
          <w:szCs w:val="32"/>
          <w:lang w:val="en-US" w:eastAsia="zh-CN"/>
        </w:rPr>
        <w:t>二是推进国土绿化行动。</w:t>
      </w:r>
      <w:r>
        <w:rPr>
          <w:rFonts w:hint="eastAsia" w:ascii="Times New Roman" w:hAnsi="Times New Roman" w:eastAsia="仿宋_GB2312" w:cs="仿宋_GB2312"/>
          <w:spacing w:val="-6"/>
          <w:sz w:val="32"/>
          <w:szCs w:val="32"/>
          <w:lang w:val="en-US" w:eastAsia="zh-CN"/>
        </w:rPr>
        <w:t>通过重点区域造林、封山育林、森林抚育、义务植树等方式开展国土绿化工作，强化禁牧和草畜平衡监管，加强冬虫夏草采集管理，深化草原生态修复治理，严厉打击破坏林草资源违法犯罪行为。累计完成国土绿化8.13万亩、草原改良12.78万亩。森林覆盖率提升至20.18%，草地植被覆盖率达71%。</w:t>
      </w:r>
      <w:r>
        <w:rPr>
          <w:rFonts w:hint="eastAsia" w:ascii="Times New Roman" w:hAnsi="Times New Roman" w:eastAsia="仿宋_GB2312" w:cs="仿宋_GB2312"/>
          <w:b/>
          <w:bCs/>
          <w:spacing w:val="-6"/>
          <w:sz w:val="32"/>
          <w:szCs w:val="32"/>
          <w:lang w:val="en-US" w:eastAsia="zh-CN"/>
        </w:rPr>
        <w:t>三是强化湿地生态系统保护</w:t>
      </w:r>
      <w:r>
        <w:rPr>
          <w:rFonts w:hint="eastAsia" w:ascii="Times New Roman" w:hAnsi="Times New Roman" w:eastAsia="仿宋_GB2312" w:cs="仿宋_GB2312"/>
          <w:spacing w:val="-6"/>
          <w:sz w:val="32"/>
          <w:szCs w:val="32"/>
          <w:lang w:val="en-US" w:eastAsia="zh-CN"/>
        </w:rPr>
        <w:t>。制定《布托湖国家湿地公园管理措施》，完成布托湖国家湿地公园生态修复工程，完成湿地公园100余个界碑界桩设置，完善湿地水域及周边垃圾设施设置。健全湿地公园管理机构，配备湿地巡护及监测设备，完善湿地公园宣教基地，开展湿地生物多样性监测，加大日常巡护力度，湿地生态系统与动植物栖息地得到有效保护。</w:t>
      </w:r>
      <w:r>
        <w:rPr>
          <w:rFonts w:hint="eastAsia" w:ascii="Times New Roman" w:hAnsi="Times New Roman" w:eastAsia="仿宋_GB2312" w:cs="仿宋_GB2312"/>
          <w:b/>
          <w:bCs/>
          <w:spacing w:val="-6"/>
          <w:sz w:val="32"/>
          <w:szCs w:val="32"/>
          <w:lang w:val="en-US" w:eastAsia="zh-CN"/>
        </w:rPr>
        <w:t>四是强化冰川生态系统保护。</w:t>
      </w:r>
      <w:r>
        <w:rPr>
          <w:rFonts w:hint="eastAsia" w:ascii="Times New Roman" w:hAnsi="Times New Roman" w:eastAsia="仿宋_GB2312" w:cs="仿宋_GB2312"/>
          <w:spacing w:val="-6"/>
          <w:sz w:val="32"/>
          <w:szCs w:val="32"/>
          <w:lang w:val="en-US" w:eastAsia="zh-CN"/>
        </w:rPr>
        <w:t>成立冰川保护工作领导机构，发布《</w:t>
      </w:r>
      <w:r>
        <w:rPr>
          <w:rFonts w:hint="eastAsia" w:ascii="Times New Roman" w:hAnsi="Times New Roman" w:eastAsia="仿宋_GB2312" w:cs="仿宋_GB2312"/>
          <w:spacing w:val="-6"/>
          <w:sz w:val="32"/>
          <w:szCs w:val="32"/>
        </w:rPr>
        <w:t>丁青县布加雪山—焫茸冰川保护管理办法（试行）》《丁青县关于加强冰川保护的工作措施》，健全冰川保护责任、管控及保障三大体系。焫茸冰川属地嘎塔乡政府</w:t>
      </w:r>
      <w:r>
        <w:rPr>
          <w:rFonts w:hint="eastAsia" w:ascii="Times New Roman" w:hAnsi="Times New Roman" w:eastAsia="仿宋_GB2312" w:cs="仿宋_GB2312"/>
          <w:spacing w:val="-6"/>
          <w:sz w:val="32"/>
          <w:szCs w:val="32"/>
          <w:lang w:val="en-US" w:eastAsia="zh-CN"/>
        </w:rPr>
        <w:t>组建</w:t>
      </w:r>
      <w:r>
        <w:rPr>
          <w:rFonts w:hint="eastAsia" w:ascii="Times New Roman" w:hAnsi="Times New Roman" w:eastAsia="仿宋_GB2312" w:cs="仿宋_GB2312"/>
          <w:spacing w:val="-6"/>
          <w:sz w:val="32"/>
          <w:szCs w:val="32"/>
        </w:rPr>
        <w:t>冰川保护巡护队，加强冰川保护巡护工作。开展冰川基础情况摸排，梳理冰川图斑数据</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lang w:val="en-US" w:eastAsia="zh-CN"/>
        </w:rPr>
        <w:t>制定《丁青县自然资源局冰川动态监管监测计划》，强化冰川动态监测与评估。</w:t>
      </w:r>
      <w:r>
        <w:rPr>
          <w:rFonts w:hint="eastAsia" w:ascii="Times New Roman" w:hAnsi="Times New Roman" w:eastAsia="仿宋_GB2312" w:cs="仿宋_GB2312"/>
          <w:b/>
          <w:bCs/>
          <w:spacing w:val="-6"/>
          <w:sz w:val="32"/>
          <w:szCs w:val="32"/>
          <w:lang w:val="en-US" w:eastAsia="zh-CN"/>
        </w:rPr>
        <w:t>五是开展矿山生态保护修复。</w:t>
      </w:r>
      <w:r>
        <w:rPr>
          <w:rFonts w:hint="eastAsia" w:ascii="Times New Roman" w:hAnsi="Times New Roman" w:eastAsia="仿宋_GB2312" w:cs="仿宋_GB2312"/>
          <w:spacing w:val="-6"/>
          <w:sz w:val="32"/>
          <w:szCs w:val="32"/>
          <w:lang w:val="en-US" w:eastAsia="zh-CN"/>
        </w:rPr>
        <w:t>有序推进矿产资源开发利用，完成拉滩果、浪达2宗铬铁矿普查探矿权挂牌出让工作。开展矿山生态环境突出问题整改“回头看”与综合整治行动，严厉打击非法开采行为，推动矿产资源开发与生态保护协同发展。压实持证矿山主体责任，开展华鑫矿业瓦工探矿区、森格日乌探矿区、金元煤业等在探、在建矿山生态修复。</w:t>
      </w:r>
    </w:p>
    <w:p w14:paraId="4A87913C">
      <w:pPr>
        <w:keepNext w:val="0"/>
        <w:keepLines w:val="0"/>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z w:val="32"/>
          <w:szCs w:val="32"/>
          <w:highlight w:val="none"/>
          <w:lang w:val="en-US" w:eastAsia="zh-CN"/>
        </w:rPr>
        <w:t>生态环境治理体系与能力不断提升。一是全面压实网格化管护责任。</w:t>
      </w:r>
      <w:r>
        <w:rPr>
          <w:rFonts w:hint="eastAsia" w:ascii="Times New Roman" w:hAnsi="Times New Roman" w:eastAsia="仿宋_GB2312" w:cs="仿宋_GB2312"/>
          <w:sz w:val="32"/>
          <w:szCs w:val="32"/>
          <w:highlight w:val="none"/>
          <w:lang w:val="en-US" w:eastAsia="zh-CN"/>
        </w:rPr>
        <w:t>全面压实河（湖）长制、林长制网格化管护责任，构建全域覆盖、全员参与、全程监管的生态管护体系。设立各级河（湖）长</w:t>
      </w:r>
      <w:r>
        <w:rPr>
          <w:rFonts w:hint="eastAsia" w:ascii="Times New Roman" w:hAnsi="Times New Roman" w:eastAsia="仿宋_GB2312" w:cs="仿宋_GB2312"/>
          <w:color w:val="auto"/>
          <w:sz w:val="32"/>
          <w:szCs w:val="32"/>
          <w:highlight w:val="none"/>
          <w:lang w:val="en-US" w:eastAsia="zh-CN"/>
        </w:rPr>
        <w:t>188</w:t>
      </w:r>
      <w:r>
        <w:rPr>
          <w:rFonts w:hint="eastAsia" w:ascii="Times New Roman" w:hAnsi="Times New Roman" w:eastAsia="仿宋_GB2312" w:cs="仿宋_GB2312"/>
          <w:sz w:val="32"/>
          <w:szCs w:val="32"/>
          <w:highlight w:val="none"/>
          <w:lang w:val="en-US" w:eastAsia="zh-CN"/>
        </w:rPr>
        <w:t>名，各级河长累计巡河1万余人次；设立各级林长508名，累计</w:t>
      </w:r>
      <w:r>
        <w:rPr>
          <w:rFonts w:hint="eastAsia" w:ascii="Times New Roman" w:hAnsi="Times New Roman" w:eastAsia="仿宋_GB2312" w:cs="仿宋_GB2312"/>
          <w:b w:val="0"/>
          <w:bCs w:val="0"/>
          <w:color w:val="auto"/>
          <w:kern w:val="2"/>
          <w:sz w:val="32"/>
          <w:szCs w:val="32"/>
          <w:lang w:val="en-US" w:eastAsia="zh-CN" w:bidi="ar-SA"/>
        </w:rPr>
        <w:t>巡林10</w:t>
      </w:r>
      <w:r>
        <w:rPr>
          <w:rFonts w:hint="eastAsia" w:ascii="Times New Roman" w:hAnsi="Times New Roman" w:eastAsia="仿宋_GB2312" w:cs="仿宋_GB2312"/>
          <w:sz w:val="32"/>
          <w:szCs w:val="32"/>
          <w:highlight w:val="none"/>
          <w:lang w:val="en-US" w:eastAsia="zh-CN"/>
        </w:rPr>
        <w:t>万余人次。</w:t>
      </w:r>
      <w:r>
        <w:rPr>
          <w:rFonts w:hint="eastAsia" w:ascii="Times New Roman" w:hAnsi="Times New Roman" w:eastAsia="仿宋_GB2312" w:cs="仿宋_GB2312"/>
          <w:b/>
          <w:bCs/>
          <w:sz w:val="32"/>
          <w:szCs w:val="32"/>
          <w:highlight w:val="none"/>
          <w:lang w:val="en-US" w:eastAsia="zh-CN"/>
        </w:rPr>
        <w:t>二是深入开展生态环境联合监管检查。</w:t>
      </w:r>
      <w:r>
        <w:rPr>
          <w:rFonts w:hint="eastAsia" w:ascii="Times New Roman" w:hAnsi="Times New Roman" w:eastAsia="仿宋_GB2312" w:cs="仿宋_GB2312"/>
          <w:sz w:val="32"/>
          <w:szCs w:val="32"/>
          <w:highlight w:val="none"/>
          <w:lang w:val="en-US" w:eastAsia="zh-CN"/>
        </w:rPr>
        <w:t>充分发挥“河湖长+检察长+警长”“林长+检察长”等协作机制作用，联合开展河道非法采砂专项整治、巡林督查、“绿盾行动”等工作。聚焦环境基础设施、重点建设项目、矿产资源、工业企业、危险废物、噪声污染等领域，联合开展生态环境执法检查，严厉打击生态资源破坏、环境污染等违法违规行为。</w:t>
      </w:r>
      <w:r>
        <w:rPr>
          <w:rFonts w:hint="eastAsia" w:ascii="Times New Roman" w:hAnsi="Times New Roman" w:eastAsia="仿宋_GB2312" w:cs="仿宋_GB2312"/>
          <w:b/>
          <w:bCs/>
          <w:sz w:val="32"/>
          <w:szCs w:val="32"/>
          <w:highlight w:val="none"/>
          <w:lang w:val="en-US" w:eastAsia="zh-CN"/>
        </w:rPr>
        <w:t>三是</w:t>
      </w:r>
      <w:r>
        <w:rPr>
          <w:rFonts w:hint="default" w:ascii="Times New Roman" w:hAnsi="Times New Roman" w:eastAsia="仿宋_GB2312" w:cs="仿宋_GB2312"/>
          <w:b/>
          <w:bCs/>
          <w:spacing w:val="0"/>
          <w:sz w:val="32"/>
          <w:szCs w:val="32"/>
          <w:lang w:val="en-US" w:eastAsia="zh-CN"/>
        </w:rPr>
        <w:t>完善</w:t>
      </w:r>
      <w:r>
        <w:rPr>
          <w:rFonts w:hint="eastAsia" w:ascii="Times New Roman" w:hAnsi="Times New Roman" w:eastAsia="仿宋_GB2312" w:cs="仿宋_GB2312"/>
          <w:b/>
          <w:bCs/>
          <w:spacing w:val="0"/>
          <w:sz w:val="32"/>
          <w:szCs w:val="32"/>
          <w:lang w:val="en-US" w:eastAsia="zh-CN"/>
        </w:rPr>
        <w:t>生态环境监测监控网络</w:t>
      </w:r>
      <w:r>
        <w:rPr>
          <w:rFonts w:hint="default" w:ascii="Times New Roman" w:hAnsi="Times New Roman" w:eastAsia="仿宋_GB2312" w:cs="仿宋_GB2312"/>
          <w:b/>
          <w:bCs/>
          <w:spacing w:val="0"/>
          <w:sz w:val="32"/>
          <w:szCs w:val="32"/>
          <w:lang w:val="en-US" w:eastAsia="zh-CN"/>
        </w:rPr>
        <w:t>。</w:t>
      </w:r>
      <w:r>
        <w:rPr>
          <w:rFonts w:hint="default" w:ascii="Times New Roman" w:hAnsi="Times New Roman" w:eastAsia="仿宋_GB2312" w:cs="仿宋_GB2312"/>
          <w:spacing w:val="0"/>
          <w:sz w:val="32"/>
          <w:szCs w:val="32"/>
          <w:lang w:val="en-US" w:eastAsia="zh-CN"/>
        </w:rPr>
        <w:t>建成</w:t>
      </w:r>
      <w:r>
        <w:rPr>
          <w:rFonts w:hint="eastAsia" w:ascii="Times New Roman" w:hAnsi="Times New Roman" w:eastAsia="仿宋_GB2312" w:cs="仿宋_GB2312"/>
          <w:spacing w:val="0"/>
          <w:sz w:val="32"/>
          <w:szCs w:val="32"/>
          <w:lang w:val="en-US" w:eastAsia="zh-CN"/>
        </w:rPr>
        <w:t>1</w:t>
      </w:r>
      <w:r>
        <w:rPr>
          <w:rFonts w:hint="default" w:ascii="Times New Roman" w:hAnsi="Times New Roman" w:eastAsia="仿宋_GB2312" w:cs="仿宋_GB2312"/>
          <w:spacing w:val="0"/>
          <w:sz w:val="32"/>
          <w:szCs w:val="32"/>
          <w:lang w:val="en-US" w:eastAsia="zh-CN"/>
        </w:rPr>
        <w:t>个空气自动监测站</w:t>
      </w:r>
      <w:r>
        <w:rPr>
          <w:rFonts w:hint="eastAsia" w:ascii="Times New Roman" w:hAnsi="Times New Roman" w:eastAsia="仿宋_GB2312" w:cs="仿宋_GB2312"/>
          <w:spacing w:val="0"/>
          <w:sz w:val="32"/>
          <w:szCs w:val="32"/>
          <w:lang w:val="en-US" w:eastAsia="zh-CN"/>
        </w:rPr>
        <w:t>，</w:t>
      </w:r>
      <w:r>
        <w:rPr>
          <w:rFonts w:hint="default" w:ascii="Times New Roman" w:hAnsi="Times New Roman" w:eastAsia="仿宋_GB2312" w:cs="仿宋_GB2312"/>
          <w:spacing w:val="0"/>
          <w:sz w:val="32"/>
          <w:szCs w:val="32"/>
          <w:highlight w:val="none"/>
          <w:lang w:val="en-US" w:eastAsia="zh-CN"/>
        </w:rPr>
        <w:t>组织污水处理厂</w:t>
      </w:r>
      <w:r>
        <w:rPr>
          <w:rFonts w:hint="eastAsia" w:ascii="Times New Roman" w:hAnsi="Times New Roman" w:eastAsia="仿宋_GB2312" w:cs="仿宋_GB2312"/>
          <w:spacing w:val="0"/>
          <w:sz w:val="32"/>
          <w:szCs w:val="32"/>
          <w:highlight w:val="none"/>
          <w:lang w:val="en-US" w:eastAsia="zh-CN"/>
        </w:rPr>
        <w:t>、</w:t>
      </w:r>
      <w:r>
        <w:rPr>
          <w:rFonts w:hint="default" w:ascii="Times New Roman" w:hAnsi="Times New Roman" w:eastAsia="仿宋_GB2312" w:cs="仿宋_GB2312"/>
          <w:spacing w:val="0"/>
          <w:sz w:val="32"/>
          <w:szCs w:val="32"/>
          <w:highlight w:val="none"/>
          <w:lang w:val="en-US" w:eastAsia="zh-CN"/>
        </w:rPr>
        <w:t>医院、丁青县津鹏翔供水供暖公司</w:t>
      </w:r>
      <w:r>
        <w:rPr>
          <w:rFonts w:hint="eastAsia" w:ascii="Times New Roman" w:hAnsi="Times New Roman" w:eastAsia="仿宋_GB2312" w:cs="仿宋_GB2312"/>
          <w:spacing w:val="0"/>
          <w:sz w:val="32"/>
          <w:szCs w:val="32"/>
          <w:highlight w:val="none"/>
          <w:lang w:val="en-US" w:eastAsia="zh-CN"/>
        </w:rPr>
        <w:t>等</w:t>
      </w:r>
      <w:r>
        <w:rPr>
          <w:rFonts w:hint="default" w:ascii="Times New Roman" w:hAnsi="Times New Roman" w:eastAsia="仿宋_GB2312" w:cs="仿宋_GB2312"/>
          <w:spacing w:val="0"/>
          <w:sz w:val="32"/>
          <w:szCs w:val="32"/>
          <w:highlight w:val="none"/>
          <w:lang w:val="en-US" w:eastAsia="zh-CN"/>
        </w:rPr>
        <w:t>排污单位安装污染物排放自动在线监测设备</w:t>
      </w:r>
      <w:r>
        <w:rPr>
          <w:rFonts w:hint="eastAsia" w:ascii="Times New Roman" w:hAnsi="Times New Roman" w:eastAsia="仿宋_GB2312" w:cs="仿宋_GB2312"/>
          <w:spacing w:val="0"/>
          <w:sz w:val="32"/>
          <w:szCs w:val="32"/>
          <w:highlight w:val="none"/>
          <w:lang w:val="en-US" w:eastAsia="zh-CN"/>
        </w:rPr>
        <w:t>，同时布设视频监控，</w:t>
      </w:r>
      <w:r>
        <w:rPr>
          <w:rFonts w:hint="eastAsia" w:ascii="Times New Roman" w:hAnsi="Times New Roman" w:eastAsia="仿宋_GB2312" w:cs="仿宋_GB2312"/>
          <w:spacing w:val="0"/>
          <w:sz w:val="32"/>
          <w:szCs w:val="32"/>
          <w:lang w:val="en-US" w:eastAsia="zh-CN"/>
        </w:rPr>
        <w:t>实现“数据监测+视频监控”的双重监管。</w:t>
      </w:r>
      <w:r>
        <w:rPr>
          <w:rFonts w:hint="eastAsia" w:ascii="Times New Roman" w:hAnsi="Times New Roman" w:eastAsia="仿宋_GB2312" w:cs="仿宋_GB2312"/>
          <w:b/>
          <w:bCs/>
          <w:spacing w:val="0"/>
          <w:sz w:val="32"/>
          <w:szCs w:val="32"/>
          <w:lang w:val="en-US" w:eastAsia="zh-CN"/>
        </w:rPr>
        <w:t>四</w:t>
      </w:r>
      <w:r>
        <w:rPr>
          <w:rFonts w:hint="default" w:ascii="Times New Roman" w:hAnsi="Times New Roman" w:eastAsia="仿宋_GB2312" w:cs="仿宋_GB2312"/>
          <w:b/>
          <w:bCs/>
          <w:spacing w:val="0"/>
          <w:sz w:val="32"/>
          <w:szCs w:val="32"/>
          <w:lang w:val="en-US" w:eastAsia="zh-CN"/>
        </w:rPr>
        <w:t>是</w:t>
      </w:r>
      <w:r>
        <w:rPr>
          <w:rFonts w:hint="eastAsia" w:ascii="Times New Roman" w:hAnsi="Times New Roman" w:eastAsia="仿宋_GB2312" w:cs="仿宋_GB2312"/>
          <w:b/>
          <w:bCs/>
          <w:spacing w:val="0"/>
          <w:sz w:val="32"/>
          <w:szCs w:val="32"/>
          <w:lang w:val="en-US" w:eastAsia="zh-CN"/>
        </w:rPr>
        <w:t>有序推进突出生态环境保护问题整改。</w:t>
      </w:r>
      <w:r>
        <w:rPr>
          <w:rFonts w:hint="eastAsia" w:ascii="Times New Roman" w:hAnsi="Times New Roman" w:eastAsia="仿宋_GB2312" w:cs="仿宋_GB2312"/>
          <w:b w:val="0"/>
          <w:bCs w:val="0"/>
          <w:spacing w:val="0"/>
          <w:sz w:val="32"/>
          <w:szCs w:val="32"/>
          <w:lang w:val="en-US" w:eastAsia="zh-CN"/>
        </w:rPr>
        <w:t>全面完成第二轮中央、第二轮自治区生态环境保护督察问题整改，第二轮第三批自治区生态环境保护督察问题</w:t>
      </w:r>
      <w:r>
        <w:rPr>
          <w:rFonts w:hint="eastAsia" w:ascii="Times New Roman" w:hAnsi="Times New Roman" w:eastAsia="仿宋_GB2312" w:cs="仿宋_GB2312"/>
          <w:b w:val="0"/>
          <w:bCs w:val="0"/>
          <w:spacing w:val="0"/>
          <w:sz w:val="32"/>
          <w:szCs w:val="32"/>
          <w:highlight w:val="none"/>
          <w:lang w:val="en-US" w:eastAsia="zh-CN"/>
        </w:rPr>
        <w:t>3项整改任务全部完成。“十四五”期间，全县未发生</w:t>
      </w:r>
      <w:r>
        <w:rPr>
          <w:rFonts w:hint="eastAsia" w:ascii="Times New Roman" w:hAnsi="Times New Roman" w:eastAsia="仿宋" w:cs="Times New Roman"/>
          <w:sz w:val="32"/>
          <w:szCs w:val="40"/>
          <w:highlight w:val="none"/>
        </w:rPr>
        <w:t>重特大突发环境事件</w:t>
      </w:r>
      <w:r>
        <w:rPr>
          <w:rFonts w:hint="eastAsia" w:ascii="Times New Roman" w:hAnsi="Times New Roman" w:eastAsia="仿宋" w:cs="Times New Roman"/>
          <w:sz w:val="32"/>
          <w:szCs w:val="40"/>
          <w:highlight w:val="none"/>
          <w:lang w:eastAsia="zh-CN"/>
        </w:rPr>
        <w:t>、</w:t>
      </w:r>
      <w:r>
        <w:rPr>
          <w:rFonts w:hint="eastAsia" w:ascii="Times New Roman" w:hAnsi="Times New Roman" w:eastAsia="仿宋" w:cs="Times New Roman"/>
          <w:sz w:val="32"/>
          <w:szCs w:val="40"/>
          <w:highlight w:val="none"/>
        </w:rPr>
        <w:t>辐射事故。</w:t>
      </w:r>
    </w:p>
    <w:bookmarkEnd w:id="2"/>
    <w:bookmarkEnd w:id="3"/>
    <w:p w14:paraId="4404A944">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7" w:name="_Toc859"/>
      <w:r>
        <w:rPr>
          <w:rFonts w:hint="eastAsia" w:ascii="黑体" w:hAnsi="黑体" w:eastAsia="黑体" w:cs="黑体"/>
          <w:b w:val="0"/>
          <w:bCs w:val="0"/>
          <w:color w:val="auto"/>
          <w:sz w:val="32"/>
          <w:szCs w:val="32"/>
          <w:highlight w:val="none"/>
          <w:lang w:val="en-US" w:eastAsia="zh-CN" w:bidi="ar-SA"/>
        </w:rPr>
        <w:t>二、美丽丁青建设迎来重要机遇</w:t>
      </w:r>
      <w:bookmarkEnd w:id="7"/>
    </w:p>
    <w:p w14:paraId="73FA12B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0"/>
          <w:sz w:val="32"/>
          <w:szCs w:val="32"/>
          <w:lang w:val="en-US" w:eastAsia="zh-CN"/>
        </w:rPr>
        <w:t>党中央高度重视新时代美丽中国建设。</w:t>
      </w:r>
      <w:r>
        <w:rPr>
          <w:rFonts w:hint="eastAsia" w:ascii="Times New Roman" w:hAnsi="Times New Roman" w:eastAsia="仿宋_GB2312" w:cs="仿宋_GB2312"/>
          <w:spacing w:val="0"/>
          <w:sz w:val="32"/>
          <w:szCs w:val="32"/>
          <w:lang w:val="en-US" w:eastAsia="zh-CN"/>
        </w:rPr>
        <w:t>建设美丽中国是全面建设社会主义现代化国家的重要目标，习近平总书记多次对美丽中国建设作出部署，党中央围绕美丽中国建设先后出台《青藏高原保护法》《生态环境法典》《关于全面推进美丽中国建设的意见》等法律法规及政策性文件，推动美丽中国顶层设计持续完善、制度体系不断健全。自治区党委、政府聚焦生态环境保护重点工作，统筹推进国家生态文明高地创建与美丽西藏建设，出台《西藏自治区国家生态文明高地建设条例》《西藏自治区冰川保护条例》《西藏自治区实施〈中华人民共和国青藏高原生态保护法〉办法》《全面推进美丽西藏建设的实施意见》等文件，系统明确美丽西藏建设的时间表、路线图与任务书，持续筑牢高原生态安全屏障，全力守护雪域高原的绿水青山。市委、市政府将生态环境保护工作纳入美丽中国、国家生态文明高地建设、美丽西藏建设的整体框架推进，谋划编制“十五五”美丽昌都建设规划。上述战略部署与政策要求，为丁青县在新的历史起点上深化生态环境保护、推动绿色高质量发展提供了根本遵循，为新征程中全面推进美丽丁青建设创造了良好政治环境与坚实工作条件。</w:t>
      </w:r>
    </w:p>
    <w:p w14:paraId="45DEF3ED">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0"/>
          <w:sz w:val="32"/>
          <w:szCs w:val="32"/>
          <w:lang w:val="en-US" w:eastAsia="zh-CN"/>
        </w:rPr>
        <w:t>多重区域战略叠加开辟美丽丁青建设新天地。</w:t>
      </w:r>
      <w:r>
        <w:rPr>
          <w:rFonts w:hint="eastAsia" w:ascii="Times New Roman" w:hAnsi="Times New Roman" w:eastAsia="仿宋_GB2312" w:cs="仿宋_GB2312"/>
          <w:spacing w:val="0"/>
          <w:sz w:val="32"/>
          <w:szCs w:val="32"/>
          <w:lang w:val="en-US" w:eastAsia="zh-CN"/>
        </w:rPr>
        <w:t>“十五五”期间，青藏高原生态保护、碳达峰碳中和、乡村全面振兴、新时代西部大开发等国家重大战略纵深推进，将生态优先、绿色发展纳入经济社会发展核心要求，不断完善生态环境保护政策体系、加大生态环境保护资金投入力度。中央第七次西藏工作座谈会确立新时代党的治藏方略；习近平总书记在自治区成立60周年之际视察西藏并发表重要讲话，强调要持续深入抓好稳定、发展、生态、强边四件大事，守护好世界屋脊、亚洲水塔，把青藏高原打造成全国乃至国际生态文明高地，为丁青推进高原生态环境保护治理提供了行动指南。昌都市全力建设“一切向东，建设长治久安和高质量发展引领示范市，昌都赋予丁青“市域副中心城市”定位，各项区域战略叠加，将为丁青推动绿色低碳高质量发展提供多项战略聚合优势和市场机遇，为丁青深化重点生态功能区保护争取政策支持和要素保障，“十五五”时期美丽丁青建设进程中必将实现更大突破、作出更大贡献。</w:t>
      </w:r>
    </w:p>
    <w:p w14:paraId="5AE104C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0"/>
          <w:sz w:val="32"/>
          <w:szCs w:val="32"/>
          <w:lang w:val="en-US" w:eastAsia="zh-CN"/>
        </w:rPr>
        <w:t>生态环境保护内生动力持续释放提供新支撑。</w:t>
      </w:r>
      <w:r>
        <w:rPr>
          <w:rFonts w:hint="eastAsia" w:ascii="Times New Roman" w:hAnsi="Times New Roman" w:eastAsia="仿宋_GB2312" w:cs="仿宋_GB2312"/>
          <w:spacing w:val="0"/>
          <w:sz w:val="32"/>
          <w:szCs w:val="32"/>
          <w:lang w:val="en-US" w:eastAsia="zh-CN"/>
        </w:rPr>
        <w:t>“十四五”以来，丁青县稳步推进国家生态文明建设示范区创建及成效巩固工作，坚持产业发展与生态治理一体谋划、同步推进，各项工作落地落实，逐步形成经济高质量发展与生态环境高水平保护协同发展的良好态势。产业发展方面，严格执行生态环境准入标准，坚决杜绝“两高一低”项目落地，推动高原牧业、特色种植业、文化旅游、清洁能源等特色产业发展，初步构建现代化产业体系。生态保护方面，全面压实林长制、河湖长制责任，完善生态系统管护体系，配齐专业管护力量，常态化实施国土绿化、退化草原修复、湿地生态修复、河流生态治理等生态项目，持续夯实生态本底。污染治理方面，持续完善城乡生活污水与垃圾处置基础设施，深化工业、农业、交通等领域污染防治工作，强化生态环境保护宣传引导，全域生态环境品质稳步提升。通过久久为功的实践，丁青构建起生态保护、产业发展、民生改善协同共赢的良好局面，为“十五五”生态环境保护工作筑牢根基，不断激活美丽丁青建设内生动力。</w:t>
      </w:r>
      <w:bookmarkStart w:id="8" w:name="_Toc15390"/>
      <w:bookmarkStart w:id="9" w:name="_Toc24732"/>
    </w:p>
    <w:bookmarkEnd w:id="8"/>
    <w:bookmarkEnd w:id="9"/>
    <w:p w14:paraId="586668DA">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10" w:name="_Toc17308"/>
      <w:r>
        <w:rPr>
          <w:rFonts w:hint="eastAsia" w:ascii="黑体" w:hAnsi="黑体" w:eastAsia="黑体" w:cs="黑体"/>
          <w:b w:val="0"/>
          <w:bCs w:val="0"/>
          <w:color w:val="auto"/>
          <w:sz w:val="32"/>
          <w:szCs w:val="32"/>
          <w:highlight w:val="none"/>
          <w:lang w:val="en-US" w:eastAsia="zh-CN" w:bidi="ar-SA"/>
        </w:rPr>
        <w:t>三、美丽丁青建设仍需久久为功</w:t>
      </w:r>
      <w:bookmarkEnd w:id="10"/>
    </w:p>
    <w:p w14:paraId="171C48C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仿宋_GB2312"/>
          <w:b w:val="0"/>
          <w:bCs w:val="0"/>
          <w:spacing w:val="0"/>
          <w:sz w:val="32"/>
          <w:szCs w:val="32"/>
          <w:lang w:val="en-US" w:eastAsia="zh-CN"/>
        </w:rPr>
      </w:pPr>
      <w:r>
        <w:rPr>
          <w:rFonts w:hint="eastAsia" w:ascii="Times New Roman" w:hAnsi="Times New Roman" w:eastAsia="仿宋_GB2312" w:cs="仿宋_GB2312"/>
          <w:b/>
          <w:bCs/>
          <w:spacing w:val="0"/>
          <w:sz w:val="32"/>
          <w:szCs w:val="32"/>
          <w:lang w:val="en-US" w:eastAsia="zh-CN"/>
        </w:rPr>
        <w:t>环境保护基础设施短板较突出</w:t>
      </w:r>
      <w:r>
        <w:rPr>
          <w:rFonts w:hint="eastAsia" w:ascii="Times New Roman" w:hAnsi="Times New Roman" w:eastAsia="仿宋_GB2312" w:cs="仿宋_GB2312"/>
          <w:spacing w:val="0"/>
          <w:sz w:val="32"/>
          <w:szCs w:val="32"/>
          <w:lang w:val="en-US" w:eastAsia="zh-CN"/>
        </w:rPr>
        <w:t>。</w:t>
      </w:r>
      <w:r>
        <w:rPr>
          <w:rFonts w:hint="eastAsia" w:ascii="Times New Roman" w:hAnsi="Times New Roman" w:eastAsia="仿宋_GB2312" w:cs="仿宋_GB2312"/>
          <w:b/>
          <w:bCs/>
          <w:spacing w:val="0"/>
          <w:sz w:val="32"/>
          <w:szCs w:val="32"/>
          <w:highlight w:val="none"/>
          <w:lang w:val="en-US" w:eastAsia="zh-CN"/>
        </w:rPr>
        <w:t>生活污水处理方面，</w:t>
      </w:r>
      <w:r>
        <w:rPr>
          <w:rFonts w:hint="eastAsia" w:ascii="Times New Roman" w:hAnsi="Times New Roman" w:eastAsia="仿宋_GB2312" w:cs="仿宋_GB2312"/>
          <w:color w:val="auto"/>
          <w:spacing w:val="0"/>
          <w:sz w:val="32"/>
          <w:szCs w:val="32"/>
          <w:highlight w:val="none"/>
          <w:lang w:val="en-US" w:eastAsia="zh-CN"/>
        </w:rPr>
        <w:t>城区</w:t>
      </w:r>
      <w:r>
        <w:rPr>
          <w:rFonts w:hint="eastAsia" w:ascii="Times New Roman" w:hAnsi="Times New Roman" w:eastAsia="仿宋_GB2312" w:cs="仿宋_GB2312"/>
          <w:color w:val="auto"/>
          <w:spacing w:val="0"/>
          <w:sz w:val="32"/>
          <w:szCs w:val="32"/>
          <w:lang w:val="en-US" w:eastAsia="zh-CN"/>
        </w:rPr>
        <w:t>雨污混流问题突出，雨污混排管网达15.3公里，县城生活污水收集率仅14.48%</w:t>
      </w:r>
      <w:r>
        <w:rPr>
          <w:rStyle w:val="12"/>
          <w:rFonts w:hint="eastAsia" w:ascii="Times New Roman" w:hAnsi="Times New Roman" w:eastAsia="仿宋_GB2312" w:cs="仿宋_GB2312"/>
          <w:color w:val="auto"/>
          <w:spacing w:val="0"/>
          <w:sz w:val="32"/>
          <w:szCs w:val="32"/>
          <w:lang w:val="en-US" w:eastAsia="zh-CN"/>
        </w:rPr>
        <w:footnoteReference w:id="0"/>
      </w:r>
      <w:r>
        <w:rPr>
          <w:rFonts w:hint="eastAsia" w:ascii="Times New Roman" w:hAnsi="Times New Roman" w:eastAsia="仿宋_GB2312" w:cs="仿宋_GB2312"/>
          <w:color w:val="auto"/>
          <w:spacing w:val="0"/>
          <w:sz w:val="32"/>
          <w:szCs w:val="32"/>
          <w:lang w:val="en-US" w:eastAsia="zh-CN"/>
        </w:rPr>
        <w:t>；县城未开展城市体检工作，排污管网病害情况不明。丁青县污水处理厂存在满负荷问题，并纳入第二轮自治区环保督察反馈问题，污水处理厂二期工程推进缓慢、至今未实施；</w:t>
      </w:r>
      <w:r>
        <w:rPr>
          <w:rFonts w:hint="eastAsia" w:ascii="Times New Roman" w:hAnsi="Times New Roman" w:eastAsia="仿宋_GB2312" w:cs="仿宋_GB2312"/>
          <w:spacing w:val="0"/>
          <w:sz w:val="32"/>
          <w:szCs w:val="32"/>
          <w:lang w:val="en-US" w:eastAsia="zh-CN"/>
        </w:rPr>
        <w:t>丁青县污水处理厂因处理工艺受限，总氮、总磷等关键指标去除能力较弱，出水水质存在不稳定达标问题。农村生活污水处理率偏低，运维经费长效保障机制不健全，较多设施未正常运行或运维管理不规范，重建设轻管理问题较为突出。</w:t>
      </w:r>
      <w:r>
        <w:rPr>
          <w:rFonts w:hint="eastAsia" w:ascii="Times New Roman" w:hAnsi="Times New Roman" w:eastAsia="仿宋_GB2312" w:cs="仿宋_GB2312"/>
          <w:b/>
          <w:bCs/>
          <w:spacing w:val="0"/>
          <w:sz w:val="32"/>
          <w:szCs w:val="32"/>
          <w:lang w:val="en-US" w:eastAsia="zh-CN"/>
        </w:rPr>
        <w:t>垃圾治理方面，</w:t>
      </w:r>
      <w:r>
        <w:rPr>
          <w:rFonts w:hint="eastAsia" w:ascii="Times New Roman" w:hAnsi="Times New Roman" w:eastAsia="仿宋_GB2312" w:cs="仿宋_GB2312"/>
          <w:b w:val="0"/>
          <w:bCs w:val="0"/>
          <w:spacing w:val="0"/>
          <w:sz w:val="32"/>
          <w:szCs w:val="32"/>
          <w:lang w:val="en-US" w:eastAsia="zh-CN"/>
        </w:rPr>
        <w:t>全县无正规建筑垃圾处置场，现有建筑垃圾消纳场为临时贮存场，规范化管理现状和污染防治措施与国家、自治区要求有差距。全县无建筑垃圾资源化利用设施，</w:t>
      </w:r>
      <w:r>
        <w:rPr>
          <w:rFonts w:hint="eastAsia" w:ascii="Times New Roman" w:hAnsi="Times New Roman" w:eastAsia="仿宋_GB2312" w:cs="仿宋_GB2312"/>
          <w:spacing w:val="0"/>
          <w:sz w:val="32"/>
          <w:szCs w:val="32"/>
          <w:lang w:val="en-US" w:eastAsia="zh-CN"/>
        </w:rPr>
        <w:t>建筑垃圾资源化利用缺乏政策，建筑垃圾资源化利用率低。</w:t>
      </w:r>
      <w:r>
        <w:rPr>
          <w:rFonts w:hint="eastAsia" w:ascii="Times New Roman" w:hAnsi="Times New Roman" w:eastAsia="仿宋_GB2312" w:cs="仿宋_GB2312"/>
          <w:b w:val="0"/>
          <w:bCs w:val="0"/>
          <w:spacing w:val="0"/>
          <w:sz w:val="32"/>
          <w:szCs w:val="32"/>
          <w:lang w:val="en-US" w:eastAsia="zh-CN"/>
        </w:rPr>
        <w:t>丁青县第二垃圾填埋场卫生防护距离内存在环境敏感目标未搬迁，缺乏厨余垃圾等生活垃圾资源化利用设施；全县仅有一座生活垃圾填埋场，部分偏远农村、虫草采集点生活垃圾转运经费未得到长效保障，存在生活垃圾未及时清运导致野生动物翻食垃圾的情况，有一定环境和安全风险。</w:t>
      </w:r>
      <w:r>
        <w:rPr>
          <w:rFonts w:hint="eastAsia" w:ascii="Times New Roman" w:hAnsi="Times New Roman" w:eastAsia="仿宋_GB2312" w:cs="仿宋_GB2312"/>
          <w:spacing w:val="0"/>
          <w:sz w:val="32"/>
          <w:szCs w:val="32"/>
          <w:lang w:val="en-US" w:eastAsia="zh-CN"/>
        </w:rPr>
        <w:t>沿河流、沿道路乱堆乱放建筑垃圾、生活垃圾问题仍然存在。</w:t>
      </w:r>
    </w:p>
    <w:p w14:paraId="4F1D2A7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仿宋_GB2312"/>
          <w:b w:val="0"/>
          <w:bCs w:val="0"/>
          <w:spacing w:val="0"/>
          <w:sz w:val="32"/>
          <w:szCs w:val="32"/>
          <w:lang w:val="en-US" w:eastAsia="zh-CN"/>
        </w:rPr>
      </w:pPr>
      <w:r>
        <w:rPr>
          <w:rFonts w:hint="eastAsia" w:ascii="Times New Roman" w:hAnsi="Times New Roman" w:eastAsia="仿宋_GB2312" w:cs="仿宋_GB2312"/>
          <w:b/>
          <w:bCs/>
          <w:spacing w:val="0"/>
          <w:sz w:val="32"/>
          <w:szCs w:val="32"/>
          <w:lang w:val="en-US" w:eastAsia="zh-CN"/>
        </w:rPr>
        <w:t>深化国家重点生态功能区保护压力</w:t>
      </w:r>
      <w:r>
        <w:rPr>
          <w:rFonts w:hint="eastAsia" w:ascii="Times New Roman" w:hAnsi="Times New Roman" w:eastAsia="仿宋_GB2312" w:cs="仿宋_GB2312"/>
          <w:b/>
          <w:bCs/>
          <w:spacing w:val="0"/>
          <w:sz w:val="32"/>
          <w:szCs w:val="32"/>
          <w:lang w:val="en" w:eastAsia="zh-CN"/>
        </w:rPr>
        <w:t>较大。生态系统方面，</w:t>
      </w:r>
      <w:r>
        <w:rPr>
          <w:rFonts w:hint="eastAsia" w:ascii="Times New Roman" w:hAnsi="Times New Roman" w:eastAsia="仿宋_GB2312" w:cs="仿宋_GB2312"/>
          <w:b w:val="0"/>
          <w:bCs w:val="0"/>
          <w:spacing w:val="0"/>
          <w:sz w:val="32"/>
          <w:szCs w:val="32"/>
          <w:lang w:val="en-US" w:eastAsia="zh-CN"/>
        </w:rPr>
        <w:t>丁青县山高谷深、地势起伏悬殊，特殊地形地貌造就生态系统脆弱敏感。区域水土保持条件有限，植被生长条件较差，生态抗外界扰动能力不足，遭受破坏后自然涵养、自我维持修复周期漫长，极易出现水土流失、草场退化等生态问题，</w:t>
      </w:r>
      <w:r>
        <w:rPr>
          <w:rFonts w:hint="eastAsia" w:ascii="Times New Roman" w:hAnsi="Times New Roman" w:eastAsia="仿宋_GB2312" w:cs="仿宋_GB2312"/>
          <w:spacing w:val="0"/>
          <w:sz w:val="32"/>
          <w:szCs w:val="32"/>
          <w:lang w:val="en" w:eastAsia="zh-CN"/>
        </w:rPr>
        <w:t>阶段性</w:t>
      </w:r>
      <w:r>
        <w:rPr>
          <w:rFonts w:hint="eastAsia" w:ascii="Times New Roman" w:hAnsi="Times New Roman" w:eastAsia="仿宋_GB2312" w:cs="仿宋_GB2312"/>
          <w:spacing w:val="0"/>
          <w:sz w:val="32"/>
          <w:szCs w:val="32"/>
          <w:lang w:val="en-US" w:eastAsia="zh-CN"/>
        </w:rPr>
        <w:t>生态系统保护</w:t>
      </w:r>
      <w:r>
        <w:rPr>
          <w:rFonts w:hint="eastAsia" w:ascii="Times New Roman" w:hAnsi="Times New Roman" w:eastAsia="仿宋_GB2312" w:cs="仿宋_GB2312"/>
          <w:spacing w:val="0"/>
          <w:sz w:val="32"/>
          <w:szCs w:val="32"/>
          <w:lang w:val="en" w:eastAsia="zh-CN"/>
        </w:rPr>
        <w:t>成效还不稳固</w:t>
      </w:r>
      <w:r>
        <w:rPr>
          <w:rFonts w:hint="eastAsia" w:ascii="Times New Roman" w:hAnsi="Times New Roman" w:eastAsia="仿宋_GB2312" w:cs="仿宋_GB2312"/>
          <w:b w:val="0"/>
          <w:bCs w:val="0"/>
          <w:spacing w:val="0"/>
          <w:sz w:val="32"/>
          <w:szCs w:val="32"/>
          <w:lang w:val="en-US" w:eastAsia="zh-CN"/>
        </w:rPr>
        <w:t>。</w:t>
      </w:r>
      <w:r>
        <w:rPr>
          <w:rFonts w:hint="eastAsia" w:ascii="Times New Roman" w:hAnsi="Times New Roman" w:eastAsia="仿宋_GB2312" w:cs="仿宋_GB2312"/>
          <w:spacing w:val="0"/>
          <w:sz w:val="32"/>
          <w:szCs w:val="32"/>
          <w:lang w:val="en" w:eastAsia="zh-CN"/>
        </w:rPr>
        <w:t>青藏高原进入暖湿期，</w:t>
      </w:r>
      <w:r>
        <w:rPr>
          <w:rFonts w:hint="eastAsia" w:ascii="Times New Roman" w:hAnsi="Times New Roman" w:eastAsia="仿宋_GB2312" w:cs="仿宋_GB2312"/>
          <w:spacing w:val="0"/>
          <w:sz w:val="32"/>
          <w:szCs w:val="32"/>
          <w:lang w:val="en-US" w:eastAsia="zh-CN"/>
        </w:rPr>
        <w:t>导致冰川退缩变薄、稳定性下降，林草、冰川、湿地等领域</w:t>
      </w:r>
      <w:r>
        <w:rPr>
          <w:rFonts w:hint="eastAsia" w:ascii="Times New Roman" w:hAnsi="Times New Roman" w:eastAsia="仿宋_GB2312" w:cs="仿宋_GB2312"/>
          <w:spacing w:val="0"/>
          <w:sz w:val="32"/>
          <w:szCs w:val="32"/>
          <w:lang w:val="en" w:eastAsia="zh-CN"/>
        </w:rPr>
        <w:t>生态安全隐患和自然灾害风险随之不断增加。</w:t>
      </w:r>
      <w:r>
        <w:rPr>
          <w:rFonts w:hint="eastAsia" w:ascii="Times New Roman" w:hAnsi="Times New Roman" w:eastAsia="仿宋_GB2312" w:cs="仿宋_GB2312"/>
          <w:b/>
          <w:bCs/>
          <w:spacing w:val="0"/>
          <w:sz w:val="32"/>
          <w:szCs w:val="32"/>
          <w:lang w:val="en" w:eastAsia="zh-CN"/>
        </w:rPr>
        <w:t>水环境方面，</w:t>
      </w:r>
      <w:r>
        <w:rPr>
          <w:rFonts w:hint="eastAsia" w:ascii="Times New Roman" w:hAnsi="Times New Roman" w:eastAsia="仿宋_GB2312" w:cs="仿宋_GB2312"/>
          <w:spacing w:val="0"/>
          <w:sz w:val="32"/>
          <w:szCs w:val="32"/>
          <w:lang w:val="en" w:eastAsia="zh-CN"/>
        </w:rPr>
        <w:t>涉水</w:t>
      </w:r>
      <w:r>
        <w:rPr>
          <w:rFonts w:hint="eastAsia" w:ascii="Times New Roman" w:hAnsi="Times New Roman" w:eastAsia="仿宋_GB2312" w:cs="仿宋_GB2312"/>
          <w:spacing w:val="0"/>
          <w:sz w:val="32"/>
          <w:szCs w:val="32"/>
          <w:lang w:val="en-US" w:eastAsia="zh-CN"/>
        </w:rPr>
        <w:t>污水收集管网、处理设施等环境保护</w:t>
      </w:r>
      <w:r>
        <w:rPr>
          <w:rFonts w:hint="eastAsia" w:ascii="Times New Roman" w:hAnsi="Times New Roman" w:eastAsia="仿宋_GB2312" w:cs="仿宋_GB2312"/>
          <w:spacing w:val="0"/>
          <w:sz w:val="32"/>
          <w:szCs w:val="32"/>
          <w:lang w:val="en" w:eastAsia="zh-CN"/>
        </w:rPr>
        <w:t>基础设施短板较为突出，随着城镇人口增加和社会经济发展，入河水污染物</w:t>
      </w:r>
      <w:r>
        <w:rPr>
          <w:rFonts w:hint="eastAsia" w:ascii="Times New Roman" w:hAnsi="Times New Roman" w:eastAsia="仿宋_GB2312" w:cs="仿宋_GB2312"/>
          <w:spacing w:val="0"/>
          <w:sz w:val="32"/>
          <w:szCs w:val="32"/>
          <w:lang w:val="en-US" w:eastAsia="zh-CN"/>
        </w:rPr>
        <w:t>量</w:t>
      </w:r>
      <w:r>
        <w:rPr>
          <w:rFonts w:hint="eastAsia" w:ascii="Times New Roman" w:hAnsi="Times New Roman" w:eastAsia="仿宋_GB2312" w:cs="仿宋_GB2312"/>
          <w:spacing w:val="0"/>
          <w:sz w:val="32"/>
          <w:szCs w:val="32"/>
          <w:lang w:val="en" w:eastAsia="zh-CN"/>
        </w:rPr>
        <w:t>将持续增加，</w:t>
      </w:r>
      <w:r>
        <w:rPr>
          <w:rFonts w:hint="eastAsia" w:ascii="Times New Roman" w:hAnsi="Times New Roman" w:eastAsia="仿宋_GB2312" w:cs="仿宋_GB2312"/>
          <w:spacing w:val="0"/>
          <w:sz w:val="32"/>
          <w:szCs w:val="32"/>
          <w:lang w:val="en-US" w:eastAsia="zh-CN"/>
        </w:rPr>
        <w:t>解曲河、雍达曲等重点河流</w:t>
      </w:r>
      <w:r>
        <w:rPr>
          <w:rFonts w:hint="eastAsia" w:ascii="Times New Roman" w:hAnsi="Times New Roman" w:eastAsia="仿宋_GB2312" w:cs="仿宋_GB2312"/>
          <w:spacing w:val="0"/>
          <w:sz w:val="32"/>
          <w:szCs w:val="32"/>
          <w:lang w:val="en" w:eastAsia="zh-CN"/>
        </w:rPr>
        <w:t>水质</w:t>
      </w:r>
      <w:r>
        <w:rPr>
          <w:rFonts w:hint="eastAsia" w:ascii="Times New Roman" w:hAnsi="Times New Roman" w:eastAsia="仿宋_GB2312" w:cs="仿宋_GB2312"/>
          <w:spacing w:val="0"/>
          <w:sz w:val="32"/>
          <w:szCs w:val="32"/>
          <w:lang w:val="en-US" w:eastAsia="zh-CN"/>
        </w:rPr>
        <w:t>稳定达标</w:t>
      </w:r>
      <w:r>
        <w:rPr>
          <w:rFonts w:hint="eastAsia" w:ascii="Times New Roman" w:hAnsi="Times New Roman" w:eastAsia="仿宋_GB2312" w:cs="仿宋_GB2312"/>
          <w:spacing w:val="0"/>
          <w:sz w:val="32"/>
          <w:szCs w:val="32"/>
          <w:lang w:val="en" w:eastAsia="zh-CN"/>
        </w:rPr>
        <w:t>压力较大。</w:t>
      </w:r>
      <w:r>
        <w:rPr>
          <w:rFonts w:hint="eastAsia" w:ascii="Times New Roman" w:hAnsi="Times New Roman" w:eastAsia="仿宋_GB2312" w:cs="仿宋_GB2312"/>
          <w:b/>
          <w:bCs/>
          <w:spacing w:val="0"/>
          <w:sz w:val="32"/>
          <w:szCs w:val="32"/>
          <w:lang w:val="en" w:eastAsia="zh-CN"/>
        </w:rPr>
        <w:t>大气环境方面，</w:t>
      </w:r>
      <w:r>
        <w:rPr>
          <w:rFonts w:hint="eastAsia" w:ascii="Times New Roman" w:hAnsi="Times New Roman" w:eastAsia="仿宋_GB2312" w:cs="仿宋_GB2312"/>
          <w:b w:val="0"/>
          <w:bCs w:val="0"/>
          <w:spacing w:val="0"/>
          <w:sz w:val="32"/>
          <w:szCs w:val="32"/>
          <w:lang w:val="en-US" w:eastAsia="zh-CN"/>
        </w:rPr>
        <w:t>城区机动车尾气、餐饮油烟、冬季居民取暖排放、施工扬尘、工业排放等</w:t>
      </w:r>
      <w:r>
        <w:rPr>
          <w:rFonts w:hint="eastAsia" w:ascii="Times New Roman" w:hAnsi="Times New Roman" w:eastAsia="仿宋_GB2312" w:cs="仿宋_GB2312"/>
          <w:b w:val="0"/>
          <w:bCs w:val="0"/>
          <w:spacing w:val="0"/>
          <w:sz w:val="32"/>
          <w:szCs w:val="32"/>
          <w:lang w:val="en" w:eastAsia="zh-CN"/>
        </w:rPr>
        <w:t>大气污染物将随着城镇人口增加和社会经济发展</w:t>
      </w:r>
      <w:r>
        <w:rPr>
          <w:rFonts w:hint="eastAsia" w:ascii="Times New Roman" w:hAnsi="Times New Roman" w:eastAsia="仿宋_GB2312" w:cs="仿宋_GB2312"/>
          <w:b w:val="0"/>
          <w:bCs w:val="0"/>
          <w:spacing w:val="0"/>
          <w:sz w:val="32"/>
          <w:szCs w:val="32"/>
          <w:lang w:val="en-US" w:eastAsia="zh-CN"/>
        </w:rPr>
        <w:t>持续增加，同时，受外来输送和不利气象扩散条件影响，</w:t>
      </w:r>
      <w:r>
        <w:rPr>
          <w:rFonts w:hint="eastAsia" w:ascii="Times New Roman" w:hAnsi="Times New Roman" w:eastAsia="仿宋_GB2312" w:cs="仿宋_GB2312"/>
          <w:spacing w:val="0"/>
          <w:sz w:val="32"/>
          <w:szCs w:val="32"/>
          <w:lang w:val="en" w:eastAsia="zh-CN"/>
        </w:rPr>
        <w:t>易导致细颗粒物、臭氧</w:t>
      </w:r>
      <w:r>
        <w:rPr>
          <w:rFonts w:hint="eastAsia" w:ascii="Times New Roman" w:hAnsi="Times New Roman" w:eastAsia="仿宋_GB2312" w:cs="仿宋_GB2312"/>
          <w:spacing w:val="0"/>
          <w:sz w:val="32"/>
          <w:szCs w:val="32"/>
          <w:lang w:val="en-US" w:eastAsia="zh-CN"/>
        </w:rPr>
        <w:t>浓度上升或</w:t>
      </w:r>
      <w:r>
        <w:rPr>
          <w:rFonts w:hint="eastAsia" w:ascii="Times New Roman" w:hAnsi="Times New Roman" w:eastAsia="仿宋_GB2312" w:cs="仿宋_GB2312"/>
          <w:spacing w:val="0"/>
          <w:sz w:val="32"/>
          <w:szCs w:val="32"/>
          <w:lang w:val="en" w:eastAsia="zh-CN"/>
        </w:rPr>
        <w:t>超标，空气质量优良天数保持100%压力较大。</w:t>
      </w:r>
      <w:r>
        <w:rPr>
          <w:rFonts w:hint="eastAsia" w:ascii="Times New Roman" w:hAnsi="Times New Roman" w:eastAsia="仿宋_GB2312" w:cs="仿宋_GB2312"/>
          <w:b/>
          <w:bCs/>
          <w:spacing w:val="0"/>
          <w:sz w:val="32"/>
          <w:szCs w:val="32"/>
          <w:lang w:val="en-US" w:eastAsia="zh-CN"/>
        </w:rPr>
        <w:t>土壤与固废</w:t>
      </w:r>
      <w:r>
        <w:rPr>
          <w:rFonts w:hint="eastAsia" w:ascii="Times New Roman" w:hAnsi="Times New Roman" w:eastAsia="仿宋_GB2312" w:cs="仿宋_GB2312"/>
          <w:b/>
          <w:bCs/>
          <w:spacing w:val="0"/>
          <w:sz w:val="32"/>
          <w:szCs w:val="32"/>
          <w:lang w:val="en" w:eastAsia="zh-CN"/>
        </w:rPr>
        <w:t>方面，</w:t>
      </w:r>
      <w:r>
        <w:rPr>
          <w:rFonts w:hint="eastAsia" w:ascii="Times New Roman" w:hAnsi="Times New Roman" w:eastAsia="仿宋_GB2312" w:cs="仿宋_GB2312"/>
          <w:b w:val="0"/>
          <w:bCs w:val="0"/>
          <w:spacing w:val="0"/>
          <w:sz w:val="32"/>
          <w:szCs w:val="32"/>
          <w:lang w:val="en-US" w:eastAsia="zh-CN"/>
        </w:rPr>
        <w:t>畜牧业、种植业等农业面源污染防治工作需进一步加强。生活垃圾、建筑垃圾分类收集、转运、处置体系不完善，</w:t>
      </w:r>
      <w:r>
        <w:rPr>
          <w:rFonts w:hint="eastAsia" w:ascii="Times New Roman" w:hAnsi="Times New Roman" w:eastAsia="仿宋_GB2312" w:cs="仿宋_GB2312"/>
          <w:b w:val="0"/>
          <w:bCs w:val="0"/>
          <w:spacing w:val="0"/>
          <w:sz w:val="32"/>
          <w:szCs w:val="32"/>
          <w:lang w:val="en" w:eastAsia="zh-CN"/>
        </w:rPr>
        <w:t>生活垃圾回收利用率低、</w:t>
      </w:r>
      <w:r>
        <w:rPr>
          <w:rFonts w:hint="eastAsia" w:ascii="Times New Roman" w:hAnsi="Times New Roman" w:eastAsia="仿宋_GB2312" w:cs="仿宋_GB2312"/>
          <w:b w:val="0"/>
          <w:bCs w:val="0"/>
          <w:spacing w:val="0"/>
          <w:sz w:val="32"/>
          <w:szCs w:val="32"/>
          <w:lang w:val="en-US" w:eastAsia="zh-CN"/>
        </w:rPr>
        <w:t>建筑垃圾综合利用率低</w:t>
      </w:r>
      <w:r>
        <w:rPr>
          <w:rFonts w:hint="eastAsia" w:ascii="Times New Roman" w:hAnsi="Times New Roman" w:eastAsia="仿宋_GB2312" w:cs="仿宋_GB2312"/>
          <w:b w:val="0"/>
          <w:bCs w:val="0"/>
          <w:spacing w:val="0"/>
          <w:sz w:val="32"/>
          <w:szCs w:val="32"/>
          <w:lang w:val="en" w:eastAsia="zh-CN"/>
        </w:rPr>
        <w:t>。</w:t>
      </w:r>
      <w:r>
        <w:rPr>
          <w:rFonts w:hint="eastAsia" w:ascii="Times New Roman" w:hAnsi="Times New Roman" w:eastAsia="仿宋_GB2312" w:cs="仿宋_GB2312"/>
          <w:b w:val="0"/>
          <w:bCs w:val="0"/>
          <w:spacing w:val="0"/>
          <w:sz w:val="32"/>
          <w:szCs w:val="32"/>
          <w:lang w:val="en-US" w:eastAsia="zh-CN"/>
        </w:rPr>
        <w:t>建筑垃圾全过程管理工作需加强，部门联合监管机制有待完善。小微企业危险废物全过程环境管理需加强。</w:t>
      </w:r>
    </w:p>
    <w:p w14:paraId="68FA55F1">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0"/>
          <w:sz w:val="32"/>
          <w:szCs w:val="32"/>
          <w:lang w:val="en-US" w:eastAsia="zh-CN"/>
        </w:rPr>
        <w:t>美丽丁青建设支撑体系需进一步健全。绿色低碳发展方面。</w:t>
      </w:r>
      <w:r>
        <w:rPr>
          <w:rFonts w:hint="eastAsia" w:ascii="Times New Roman" w:hAnsi="Times New Roman" w:eastAsia="仿宋_GB2312" w:cs="仿宋_GB2312"/>
          <w:b w:val="0"/>
          <w:bCs w:val="0"/>
          <w:spacing w:val="0"/>
          <w:sz w:val="32"/>
          <w:szCs w:val="32"/>
          <w:lang w:val="en-US" w:eastAsia="zh-CN"/>
        </w:rPr>
        <w:t>区</w:t>
      </w:r>
      <w:r>
        <w:rPr>
          <w:rFonts w:hint="eastAsia" w:ascii="Times New Roman" w:hAnsi="Times New Roman" w:eastAsia="仿宋_GB2312" w:cs="仿宋_GB2312"/>
          <w:spacing w:val="0"/>
          <w:sz w:val="32"/>
          <w:szCs w:val="32"/>
          <w:lang w:val="en-US" w:eastAsia="zh-CN"/>
        </w:rPr>
        <w:t>域经济增长主要靠基础设施建设、自然资源粗加工</w:t>
      </w:r>
      <w:r>
        <w:rPr>
          <w:rFonts w:hint="eastAsia" w:ascii="Times New Roman" w:hAnsi="Times New Roman" w:eastAsia="仿宋_GB2312" w:cs="仿宋_GB2312"/>
          <w:spacing w:val="0"/>
          <w:sz w:val="32"/>
          <w:szCs w:val="32"/>
          <w:lang w:val="en" w:eastAsia="zh-CN"/>
        </w:rPr>
        <w:t>拉动，特色农牧业、文旅产业</w:t>
      </w:r>
      <w:r>
        <w:rPr>
          <w:rFonts w:hint="eastAsia" w:ascii="Times New Roman" w:hAnsi="Times New Roman" w:eastAsia="仿宋_GB2312" w:cs="仿宋_GB2312"/>
          <w:spacing w:val="0"/>
          <w:sz w:val="32"/>
          <w:szCs w:val="32"/>
          <w:lang w:val="en-US" w:eastAsia="zh-CN"/>
        </w:rPr>
        <w:t>绿色发展水平不高、产业链条短、附加值偏低，</w:t>
      </w:r>
      <w:r>
        <w:rPr>
          <w:rFonts w:hint="eastAsia" w:ascii="Times New Roman" w:hAnsi="Times New Roman" w:eastAsia="仿宋_GB2312" w:cs="仿宋_GB2312"/>
          <w:spacing w:val="0"/>
          <w:sz w:val="32"/>
          <w:szCs w:val="32"/>
          <w:lang w:val="en" w:eastAsia="zh-CN"/>
        </w:rPr>
        <w:t>绿色产业对发展的支撑作用不够，生态</w:t>
      </w:r>
      <w:r>
        <w:rPr>
          <w:rFonts w:hint="eastAsia" w:ascii="Times New Roman" w:hAnsi="Times New Roman" w:eastAsia="仿宋_GB2312" w:cs="仿宋_GB2312"/>
          <w:spacing w:val="0"/>
          <w:sz w:val="32"/>
          <w:szCs w:val="32"/>
          <w:lang w:val="en-US" w:eastAsia="zh-CN"/>
        </w:rPr>
        <w:t>产品</w:t>
      </w:r>
      <w:r>
        <w:rPr>
          <w:rFonts w:hint="eastAsia" w:ascii="Times New Roman" w:hAnsi="Times New Roman" w:eastAsia="仿宋_GB2312" w:cs="仿宋_GB2312"/>
          <w:spacing w:val="0"/>
          <w:sz w:val="32"/>
          <w:szCs w:val="32"/>
          <w:lang w:val="en" w:eastAsia="zh-CN"/>
        </w:rPr>
        <w:t>价值</w:t>
      </w:r>
      <w:r>
        <w:rPr>
          <w:rFonts w:hint="eastAsia" w:ascii="Times New Roman" w:hAnsi="Times New Roman" w:eastAsia="仿宋_GB2312" w:cs="仿宋_GB2312"/>
          <w:spacing w:val="0"/>
          <w:sz w:val="32"/>
          <w:szCs w:val="32"/>
          <w:lang w:val="en-US" w:eastAsia="zh-CN"/>
        </w:rPr>
        <w:t>转化路径需进一步扩宽与深化。推动绿色发展的财税、投资、金融、价格等激励机制需进一步完善</w:t>
      </w:r>
      <w:r>
        <w:rPr>
          <w:rFonts w:hint="eastAsia" w:ascii="Times New Roman" w:hAnsi="Times New Roman" w:eastAsia="仿宋_GB2312" w:cs="仿宋_GB2312"/>
          <w:spacing w:val="-6"/>
          <w:sz w:val="32"/>
          <w:szCs w:val="32"/>
          <w:lang w:val="en"/>
        </w:rPr>
        <w:t>。</w:t>
      </w:r>
      <w:r>
        <w:rPr>
          <w:rFonts w:hint="eastAsia" w:ascii="Times New Roman" w:hAnsi="Times New Roman" w:eastAsia="仿宋_GB2312" w:cs="仿宋_GB2312"/>
          <w:b/>
          <w:bCs/>
          <w:spacing w:val="0"/>
          <w:sz w:val="32"/>
          <w:szCs w:val="32"/>
          <w:lang w:val="en-US" w:eastAsia="zh-CN"/>
        </w:rPr>
        <w:t>部门监管机制不顺畅。</w:t>
      </w:r>
      <w:r>
        <w:rPr>
          <w:rFonts w:hint="eastAsia" w:ascii="Times New Roman" w:hAnsi="Times New Roman" w:eastAsia="仿宋_GB2312" w:cs="仿宋_GB2312"/>
          <w:b w:val="0"/>
          <w:bCs w:val="0"/>
          <w:spacing w:val="0"/>
          <w:sz w:val="32"/>
          <w:szCs w:val="32"/>
          <w:lang w:val="en-US" w:eastAsia="zh-CN"/>
        </w:rPr>
        <w:t>农村生活污水垃圾、建筑垃圾、冰川雪山、自然保护地、河湖湿地等领域</w:t>
      </w:r>
      <w:r>
        <w:rPr>
          <w:rFonts w:hint="eastAsia" w:ascii="Times New Roman" w:hAnsi="Times New Roman" w:eastAsia="仿宋_GB2312" w:cs="仿宋_GB2312"/>
          <w:b w:val="0"/>
          <w:bCs w:val="0"/>
          <w:spacing w:val="0"/>
          <w:sz w:val="32"/>
          <w:szCs w:val="32"/>
          <w:lang w:val="en" w:eastAsia="zh-CN"/>
        </w:rPr>
        <w:t>存在</w:t>
      </w:r>
      <w:r>
        <w:rPr>
          <w:rFonts w:hint="eastAsia" w:ascii="Times New Roman" w:hAnsi="Times New Roman" w:eastAsia="仿宋_GB2312" w:cs="仿宋_GB2312"/>
          <w:spacing w:val="0"/>
          <w:sz w:val="32"/>
          <w:szCs w:val="32"/>
          <w:lang w:val="en" w:eastAsia="zh-CN"/>
        </w:rPr>
        <w:t>管理机制体制不顺、监管职能重叠（缺失）、跨部门协调机制不健全等问题，跨部门常态化</w:t>
      </w:r>
      <w:r>
        <w:rPr>
          <w:rFonts w:hint="eastAsia" w:ascii="Times New Roman" w:hAnsi="Times New Roman" w:eastAsia="仿宋_GB2312" w:cs="仿宋_GB2312"/>
          <w:spacing w:val="0"/>
          <w:sz w:val="32"/>
          <w:szCs w:val="32"/>
          <w:lang w:val="en-US" w:eastAsia="zh-CN"/>
        </w:rPr>
        <w:t>信息</w:t>
      </w:r>
      <w:r>
        <w:rPr>
          <w:rFonts w:hint="eastAsia" w:ascii="Times New Roman" w:hAnsi="Times New Roman" w:eastAsia="仿宋_GB2312" w:cs="仿宋_GB2312"/>
          <w:spacing w:val="0"/>
          <w:sz w:val="32"/>
          <w:szCs w:val="32"/>
          <w:lang w:val="en" w:eastAsia="zh-CN"/>
        </w:rPr>
        <w:t>沟通、联合执法、协同治理机制不健全，工作中推诿扯皮现象时有发生，不利于统筹社会经济高质量发展和生态环境高水平保护</w:t>
      </w:r>
      <w:r>
        <w:rPr>
          <w:rFonts w:hint="eastAsia" w:ascii="Times New Roman" w:hAnsi="Times New Roman" w:eastAsia="仿宋_GB2312" w:cs="仿宋_GB2312"/>
          <w:color w:val="auto"/>
          <w:spacing w:val="0"/>
          <w:sz w:val="32"/>
          <w:szCs w:val="32"/>
          <w:lang w:val="en" w:eastAsia="zh-CN"/>
        </w:rPr>
        <w:t>。</w:t>
      </w:r>
      <w:r>
        <w:rPr>
          <w:rFonts w:hint="eastAsia" w:ascii="Times New Roman" w:hAnsi="Times New Roman" w:eastAsia="仿宋_GB2312" w:cs="仿宋_GB2312"/>
          <w:b w:val="0"/>
          <w:bCs w:val="0"/>
          <w:color w:val="auto"/>
          <w:spacing w:val="0"/>
          <w:sz w:val="32"/>
          <w:szCs w:val="32"/>
          <w:lang w:val="en-US" w:eastAsia="zh-CN"/>
        </w:rPr>
        <w:t>虫草采挖、历史遗留矿山、探矿等生态破坏信访投诉数量居高不下，部分问题因整改不彻底、治标未治本、经济利益，致使重复上访、反复投诉现象多发。</w:t>
      </w:r>
      <w:r>
        <w:rPr>
          <w:rFonts w:hint="eastAsia" w:ascii="Times New Roman" w:hAnsi="Times New Roman" w:eastAsia="仿宋_GB2312" w:cs="仿宋_GB2312"/>
          <w:b/>
          <w:bCs/>
          <w:spacing w:val="0"/>
          <w:sz w:val="32"/>
          <w:szCs w:val="32"/>
          <w:lang w:val="en-US" w:eastAsia="zh-CN"/>
        </w:rPr>
        <w:t>生态环境治理体系和能力不足，</w:t>
      </w:r>
      <w:r>
        <w:rPr>
          <w:rFonts w:hint="eastAsia" w:ascii="Times New Roman" w:hAnsi="Times New Roman" w:eastAsia="仿宋_GB2312" w:cs="仿宋_GB2312"/>
          <w:b w:val="0"/>
          <w:bCs w:val="0"/>
          <w:spacing w:val="0"/>
          <w:sz w:val="32"/>
          <w:szCs w:val="32"/>
          <w:lang w:val="en-US" w:eastAsia="zh-CN"/>
        </w:rPr>
        <w:t>生态环境质量监测体系不健全，关键区域自动监测点位缺位，高寒山区、河谷支流、冰川周边等生态区域监测点位存在空白，生态环境实时管控与预警支撑能力欠缺。基层生态环境监管力量薄弱，专业人员配置不足，业务能力、执法水平需进一步提升。生态环境治理手段较为传统，</w:t>
      </w:r>
      <w:r>
        <w:rPr>
          <w:rFonts w:hint="eastAsia" w:ascii="Times New Roman" w:hAnsi="Times New Roman" w:eastAsia="仿宋_GB2312" w:cs="仿宋_GB2312"/>
          <w:spacing w:val="0"/>
          <w:sz w:val="32"/>
          <w:szCs w:val="32"/>
          <w:lang w:val="en" w:eastAsia="zh-CN"/>
        </w:rPr>
        <w:t>生态环境保护综合性、科学化、</w:t>
      </w:r>
      <w:r>
        <w:rPr>
          <w:rFonts w:hint="eastAsia" w:ascii="Times New Roman" w:hAnsi="Times New Roman" w:eastAsia="仿宋_GB2312" w:cs="仿宋_GB2312"/>
          <w:spacing w:val="0"/>
          <w:sz w:val="32"/>
          <w:szCs w:val="32"/>
          <w:lang w:val="en-US" w:eastAsia="zh-CN"/>
        </w:rPr>
        <w:t>信息化、</w:t>
      </w:r>
      <w:r>
        <w:rPr>
          <w:rFonts w:hint="eastAsia" w:ascii="Times New Roman" w:hAnsi="Times New Roman" w:eastAsia="仿宋_GB2312" w:cs="仿宋_GB2312"/>
          <w:spacing w:val="0"/>
          <w:sz w:val="32"/>
          <w:szCs w:val="32"/>
          <w:lang w:val="en" w:eastAsia="zh-CN"/>
        </w:rPr>
        <w:t>精细化管理薄弱</w:t>
      </w:r>
      <w:r>
        <w:rPr>
          <w:rFonts w:hint="eastAsia" w:ascii="Times New Roman" w:hAnsi="Times New Roman" w:eastAsia="仿宋_GB2312" w:cs="仿宋_GB2312"/>
          <w:spacing w:val="0"/>
          <w:sz w:val="32"/>
          <w:szCs w:val="32"/>
          <w:lang w:val="en-US" w:eastAsia="zh-CN"/>
        </w:rPr>
        <w:t>。</w:t>
      </w:r>
      <w:bookmarkStart w:id="11" w:name="_Toc29894"/>
      <w:bookmarkStart w:id="12" w:name="_Toc19840"/>
    </w:p>
    <w:p w14:paraId="585C475B">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 xml:space="preserve"> </w:t>
      </w:r>
      <w:bookmarkStart w:id="13" w:name="_Toc20267"/>
      <w:r>
        <w:rPr>
          <w:rFonts w:hint="eastAsia" w:ascii="方正小标宋简体" w:hAnsi="方正小标宋简体" w:eastAsia="方正小标宋简体" w:cs="方正小标宋简体"/>
          <w:sz w:val="32"/>
          <w:szCs w:val="32"/>
          <w:lang w:val="en-US" w:eastAsia="zh-CN"/>
        </w:rPr>
        <w:t>指导思想、基本原则和主要目标</w:t>
      </w:r>
      <w:bookmarkEnd w:id="13"/>
    </w:p>
    <w:bookmarkEnd w:id="11"/>
    <w:bookmarkEnd w:id="12"/>
    <w:p w14:paraId="53B777ED">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4" w:name="_Toc8634"/>
      <w:bookmarkStart w:id="15" w:name="_Toc32424"/>
      <w:bookmarkStart w:id="16" w:name="_Toc13063"/>
      <w:r>
        <w:rPr>
          <w:rFonts w:hint="eastAsia" w:ascii="黑体" w:hAnsi="黑体" w:eastAsia="黑体" w:cs="黑体"/>
          <w:b w:val="0"/>
          <w:bCs w:val="0"/>
          <w:color w:val="auto"/>
          <w:sz w:val="32"/>
          <w:szCs w:val="32"/>
          <w:highlight w:val="none"/>
          <w:lang w:val="en-US" w:eastAsia="zh-CN" w:bidi="ar-SA"/>
        </w:rPr>
        <w:t>一、指导思想</w:t>
      </w:r>
      <w:bookmarkEnd w:id="14"/>
    </w:p>
    <w:p w14:paraId="46F91120">
      <w:pPr>
        <w:keepNext w:val="0"/>
        <w:keepLines w:val="0"/>
        <w:pageBreakBefore w:val="0"/>
        <w:widowControl w:val="0"/>
        <w:kinsoku/>
        <w:wordWrap/>
        <w:overflowPunct w:val="0"/>
        <w:topLinePunct w:val="0"/>
        <w:autoSpaceDE/>
        <w:autoSpaceDN/>
        <w:bidi w:val="0"/>
        <w:adjustRightInd/>
        <w:snapToGrid/>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以习近平新时代中国特色社会主义思想为指导，深入贯彻习近平生态文明思想，全面贯彻党的二十大和二十届历次全会精神，认真落实习近平总书记关于西藏工作的重要指示和新时代党的治藏方略，牢固树立“绿水青山就是金山银山，冰天雪地也是金山银山”的理念，聚焦“四件大事”聚力“四个创建”，聚焦“一切向东，建设长治久安和高质量发展先行县”工作目标，以深化国家重点生态功能区保护为战略导向，以改善城乡生态环境质量为核心，以巩固国家生态文明建设示范区成果为抓手，统筹产业绿色转型、生态保护修复、生态环境治理、环境风险防范，协同推进降碳、减污、扩绿、增长，提供更多优质生态产品以满足人民日益增长的美好生活需要，进一步在美丽昌都建设中发挥示范作用，为谱写中国式现代化美丽丁青篇章提供优良生态环境支撑</w:t>
      </w:r>
      <w:r>
        <w:rPr>
          <w:rFonts w:hint="eastAsia" w:ascii="Times New Roman" w:hAnsi="Times New Roman" w:eastAsia="仿宋_GB2312" w:cs="仿宋_GB2312"/>
          <w:spacing w:val="-6"/>
          <w:sz w:val="32"/>
          <w:szCs w:val="32"/>
          <w:lang w:val="en" w:eastAsia="zh-CN"/>
        </w:rPr>
        <w:t>，</w:t>
      </w:r>
      <w:r>
        <w:rPr>
          <w:rFonts w:hint="eastAsia" w:ascii="Times New Roman" w:hAnsi="Times New Roman" w:eastAsia="仿宋_GB2312" w:cs="仿宋_GB2312"/>
          <w:spacing w:val="-6"/>
          <w:sz w:val="32"/>
          <w:szCs w:val="32"/>
          <w:lang w:val="en-US" w:eastAsia="zh-CN"/>
        </w:rPr>
        <w:t>切实守护好世界屋脊、亚洲水塔。</w:t>
      </w:r>
    </w:p>
    <w:p w14:paraId="342C34FB">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7" w:name="_Toc31685"/>
      <w:r>
        <w:rPr>
          <w:rFonts w:hint="eastAsia" w:ascii="黑体" w:hAnsi="黑体" w:eastAsia="黑体" w:cs="黑体"/>
          <w:b w:val="0"/>
          <w:bCs w:val="0"/>
          <w:color w:val="auto"/>
          <w:sz w:val="32"/>
          <w:szCs w:val="32"/>
          <w:highlight w:val="none"/>
          <w:lang w:val="en-US" w:eastAsia="zh-CN" w:bidi="ar-SA"/>
        </w:rPr>
        <w:t>二、基本原则</w:t>
      </w:r>
      <w:bookmarkEnd w:id="15"/>
      <w:bookmarkEnd w:id="16"/>
      <w:bookmarkEnd w:id="17"/>
    </w:p>
    <w:p w14:paraId="251246D1">
      <w:pPr>
        <w:keepNext w:val="0"/>
        <w:keepLines w:val="0"/>
        <w:pageBreakBefore w:val="0"/>
        <w:widowControl w:val="0"/>
        <w:kinsoku/>
        <w:wordWrap/>
        <w:overflowPunct w:val="0"/>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highlight w:val="none"/>
          <w:lang w:val="en" w:eastAsia="zh-CN"/>
        </w:rPr>
      </w:pPr>
      <w:bookmarkStart w:id="18" w:name="_Toc27633"/>
      <w:bookmarkStart w:id="19" w:name="_Toc25916"/>
      <w:r>
        <w:rPr>
          <w:rFonts w:hint="eastAsia" w:ascii="楷体" w:hAnsi="楷体" w:eastAsia="楷体" w:cs="楷体"/>
          <w:spacing w:val="-6"/>
          <w:sz w:val="32"/>
          <w:szCs w:val="32"/>
          <w:highlight w:val="none"/>
          <w:lang w:val="en" w:eastAsia="zh-CN"/>
        </w:rPr>
        <w:t>坚持</w:t>
      </w:r>
      <w:r>
        <w:rPr>
          <w:rFonts w:hint="eastAsia" w:ascii="楷体" w:hAnsi="楷体" w:eastAsia="楷体" w:cs="楷体"/>
          <w:spacing w:val="-6"/>
          <w:sz w:val="32"/>
          <w:szCs w:val="32"/>
          <w:highlight w:val="none"/>
          <w:lang w:val="en-US" w:eastAsia="zh-CN"/>
        </w:rPr>
        <w:t>系统</w:t>
      </w:r>
      <w:r>
        <w:rPr>
          <w:rFonts w:hint="eastAsia" w:ascii="楷体" w:hAnsi="楷体" w:eastAsia="楷体" w:cs="楷体"/>
          <w:spacing w:val="-6"/>
          <w:sz w:val="32"/>
          <w:szCs w:val="32"/>
          <w:highlight w:val="none"/>
          <w:lang w:val="en" w:eastAsia="zh-CN"/>
        </w:rPr>
        <w:t>谋划，统筹发展保护。</w:t>
      </w:r>
      <w:r>
        <w:rPr>
          <w:rFonts w:hint="default" w:ascii="Times New Roman" w:hAnsi="Times New Roman" w:eastAsia="仿宋_GB2312" w:cs="仿宋_GB2312"/>
          <w:spacing w:val="-6"/>
          <w:sz w:val="32"/>
          <w:szCs w:val="32"/>
          <w:highlight w:val="none"/>
          <w:lang w:val="en-US" w:eastAsia="zh-CN"/>
        </w:rPr>
        <w:t>将生态环境保护融入经济社会发展全过程，</w:t>
      </w:r>
      <w:r>
        <w:rPr>
          <w:rFonts w:hint="eastAsia" w:ascii="Times New Roman" w:hAnsi="Times New Roman" w:eastAsia="仿宋_GB2312" w:cs="仿宋_GB2312"/>
          <w:spacing w:val="-6"/>
          <w:sz w:val="32"/>
          <w:szCs w:val="32"/>
          <w:highlight w:val="none"/>
          <w:lang w:val="en" w:eastAsia="zh-CN"/>
        </w:rPr>
        <w:t>以生态环境质量改善、碳达峰碳中和引领和优化绿色低碳转型，</w:t>
      </w:r>
      <w:r>
        <w:rPr>
          <w:rFonts w:hint="default" w:ascii="Times New Roman" w:hAnsi="Times New Roman" w:eastAsia="仿宋_GB2312" w:cs="仿宋_GB2312"/>
          <w:spacing w:val="-6"/>
          <w:sz w:val="32"/>
          <w:szCs w:val="32"/>
          <w:highlight w:val="none"/>
          <w:lang w:val="en-US" w:eastAsia="zh-CN"/>
        </w:rPr>
        <w:t>处理好产业发展、国土开发利用、基础设施规划建设与生态空间管控、环境承载力、环境质量底线的</w:t>
      </w:r>
      <w:r>
        <w:rPr>
          <w:rFonts w:hint="eastAsia" w:ascii="Times New Roman" w:hAnsi="Times New Roman" w:eastAsia="仿宋_GB2312" w:cs="仿宋_GB2312"/>
          <w:spacing w:val="-6"/>
          <w:sz w:val="32"/>
          <w:szCs w:val="32"/>
          <w:highlight w:val="none"/>
          <w:lang w:val="en-US" w:eastAsia="zh-CN"/>
        </w:rPr>
        <w:t>关系。</w:t>
      </w:r>
    </w:p>
    <w:p w14:paraId="5BE274ED">
      <w:pPr>
        <w:keepNext w:val="0"/>
        <w:keepLines w:val="0"/>
        <w:pageBreakBefore w:val="0"/>
        <w:widowControl w:val="0"/>
        <w:kinsoku/>
        <w:wordWrap/>
        <w:overflowPunct w:val="0"/>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highlight w:val="none"/>
          <w:lang w:val="en" w:eastAsia="zh-CN"/>
        </w:rPr>
      </w:pPr>
      <w:r>
        <w:rPr>
          <w:rFonts w:hint="default" w:ascii="楷体" w:hAnsi="楷体" w:eastAsia="楷体" w:cs="楷体"/>
          <w:spacing w:val="-6"/>
          <w:sz w:val="32"/>
          <w:szCs w:val="32"/>
          <w:highlight w:val="none"/>
          <w:lang w:val="en" w:eastAsia="zh-CN"/>
        </w:rPr>
        <w:t>坚持精准施策，推动全面</w:t>
      </w:r>
      <w:r>
        <w:rPr>
          <w:rFonts w:hint="eastAsia" w:ascii="楷体" w:hAnsi="楷体" w:eastAsia="楷体" w:cs="楷体"/>
          <w:spacing w:val="-6"/>
          <w:sz w:val="32"/>
          <w:szCs w:val="32"/>
          <w:highlight w:val="none"/>
          <w:lang w:val="en-US" w:eastAsia="zh-CN"/>
        </w:rPr>
        <w:t>提升</w:t>
      </w:r>
      <w:r>
        <w:rPr>
          <w:rFonts w:hint="default" w:ascii="楷体" w:hAnsi="楷体" w:eastAsia="楷体" w:cs="楷体"/>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深刻把握</w:t>
      </w:r>
      <w:r>
        <w:rPr>
          <w:rFonts w:hint="eastAsia" w:ascii="Times New Roman" w:hAnsi="Times New Roman" w:eastAsia="仿宋_GB2312" w:cs="仿宋_GB2312"/>
          <w:spacing w:val="-6"/>
          <w:sz w:val="32"/>
          <w:szCs w:val="32"/>
          <w:highlight w:val="none"/>
          <w:lang w:val="en-US" w:eastAsia="zh-CN"/>
        </w:rPr>
        <w:t>丁青</w:t>
      </w:r>
      <w:r>
        <w:rPr>
          <w:rFonts w:hint="default" w:ascii="Times New Roman" w:hAnsi="Times New Roman" w:eastAsia="仿宋_GB2312" w:cs="仿宋_GB2312"/>
          <w:spacing w:val="-6"/>
          <w:sz w:val="32"/>
          <w:szCs w:val="32"/>
          <w:highlight w:val="none"/>
          <w:lang w:val="en" w:eastAsia="zh-CN"/>
        </w:rPr>
        <w:t>生态环境问题的区域性和结构性特征，聚焦老百姓可感可及的生态环境问题</w:t>
      </w:r>
      <w:r>
        <w:rPr>
          <w:rFonts w:hint="eastAsia" w:ascii="Times New Roman" w:hAnsi="Times New Roman" w:eastAsia="仿宋_GB2312" w:cs="仿宋_GB2312"/>
          <w:spacing w:val="-6"/>
          <w:sz w:val="32"/>
          <w:szCs w:val="32"/>
          <w:highlight w:val="none"/>
          <w:lang w:val="en" w:eastAsia="zh-CN"/>
        </w:rPr>
        <w:t>，统</w:t>
      </w:r>
      <w:r>
        <w:rPr>
          <w:rFonts w:hint="eastAsia" w:ascii="Times New Roman" w:hAnsi="Times New Roman" w:eastAsia="仿宋_GB2312" w:cs="仿宋_GB2312"/>
          <w:spacing w:val="-6"/>
          <w:sz w:val="32"/>
          <w:szCs w:val="32"/>
          <w:highlight w:val="none"/>
          <w:lang w:val="en-US" w:eastAsia="zh-CN"/>
        </w:rPr>
        <w:t>筹推进生态环境质量改善</w:t>
      </w:r>
      <w:r>
        <w:rPr>
          <w:rFonts w:hint="default" w:ascii="Times New Roman" w:hAnsi="Times New Roman" w:eastAsia="仿宋_GB2312" w:cs="仿宋_GB2312"/>
          <w:spacing w:val="-6"/>
          <w:sz w:val="32"/>
          <w:szCs w:val="32"/>
          <w:highlight w:val="none"/>
          <w:lang w:val="en" w:eastAsia="zh-CN"/>
        </w:rPr>
        <w:t>、绿色低碳</w:t>
      </w:r>
      <w:r>
        <w:rPr>
          <w:rFonts w:hint="eastAsia" w:ascii="Times New Roman" w:hAnsi="Times New Roman" w:eastAsia="仿宋_GB2312" w:cs="仿宋_GB2312"/>
          <w:spacing w:val="-6"/>
          <w:sz w:val="32"/>
          <w:szCs w:val="32"/>
          <w:highlight w:val="none"/>
          <w:lang w:val="en-US" w:eastAsia="zh-CN"/>
        </w:rPr>
        <w:t>发展和环境</w:t>
      </w:r>
      <w:r>
        <w:rPr>
          <w:rFonts w:hint="default" w:ascii="Times New Roman" w:hAnsi="Times New Roman" w:eastAsia="仿宋_GB2312" w:cs="仿宋_GB2312"/>
          <w:spacing w:val="-6"/>
          <w:sz w:val="32"/>
          <w:szCs w:val="32"/>
          <w:highlight w:val="none"/>
          <w:lang w:val="en" w:eastAsia="zh-CN"/>
        </w:rPr>
        <w:t>治理</w:t>
      </w:r>
      <w:r>
        <w:rPr>
          <w:rFonts w:hint="eastAsia" w:ascii="Times New Roman" w:hAnsi="Times New Roman" w:eastAsia="仿宋_GB2312" w:cs="仿宋_GB2312"/>
          <w:spacing w:val="-6"/>
          <w:sz w:val="32"/>
          <w:szCs w:val="32"/>
          <w:highlight w:val="none"/>
          <w:lang w:val="en-US" w:eastAsia="zh-CN"/>
        </w:rPr>
        <w:t>能力提升</w:t>
      </w:r>
      <w:r>
        <w:rPr>
          <w:rFonts w:hint="eastAsia" w:ascii="Times New Roman" w:hAnsi="Times New Roman" w:eastAsia="仿宋_GB2312" w:cs="仿宋_GB2312"/>
          <w:spacing w:val="-6"/>
          <w:sz w:val="32"/>
          <w:szCs w:val="32"/>
          <w:highlight w:val="none"/>
          <w:lang w:val="en" w:eastAsia="zh-CN"/>
        </w:rPr>
        <w:t>，</w:t>
      </w:r>
      <w:r>
        <w:rPr>
          <w:rFonts w:hint="eastAsia" w:ascii="Times New Roman" w:hAnsi="Times New Roman" w:eastAsia="仿宋_GB2312" w:cs="仿宋_GB2312"/>
          <w:spacing w:val="-6"/>
          <w:sz w:val="32"/>
          <w:szCs w:val="32"/>
          <w:highlight w:val="none"/>
          <w:lang w:val="en-US" w:eastAsia="zh-CN"/>
        </w:rPr>
        <w:t>解决一批突出生态环境问题，</w:t>
      </w:r>
      <w:r>
        <w:rPr>
          <w:rFonts w:hint="eastAsia" w:ascii="Times New Roman" w:hAnsi="Times New Roman" w:eastAsia="仿宋_GB2312" w:cs="仿宋_GB2312"/>
          <w:spacing w:val="-6"/>
          <w:sz w:val="32"/>
          <w:szCs w:val="32"/>
          <w:highlight w:val="none"/>
          <w:lang w:val="en" w:eastAsia="zh-CN"/>
        </w:rPr>
        <w:t>推动生态环境质量全方位提升，让人民群众获得感幸福感认同感更加充实。</w:t>
      </w:r>
    </w:p>
    <w:p w14:paraId="737460D9">
      <w:pPr>
        <w:spacing w:line="530" w:lineRule="exact"/>
        <w:ind w:firstLine="616" w:firstLineChars="200"/>
        <w:rPr>
          <w:rFonts w:hint="eastAsia" w:ascii="Times New Roman" w:hAnsi="Times New Roman" w:eastAsia="仿宋_GB2312" w:cs="仿宋_GB2312"/>
          <w:spacing w:val="-6"/>
          <w:sz w:val="32"/>
          <w:szCs w:val="32"/>
          <w:highlight w:val="none"/>
          <w:lang w:val="en-US" w:eastAsia="zh-CN"/>
        </w:rPr>
      </w:pPr>
      <w:r>
        <w:rPr>
          <w:rFonts w:hint="default" w:ascii="楷体" w:hAnsi="楷体" w:eastAsia="楷体" w:cs="楷体"/>
          <w:spacing w:val="-6"/>
          <w:sz w:val="32"/>
          <w:szCs w:val="32"/>
          <w:highlight w:val="none"/>
          <w:lang w:val="en" w:eastAsia="zh-CN"/>
        </w:rPr>
        <w:t>坚持改革创新，强化智慧引领</w:t>
      </w:r>
      <w:r>
        <w:rPr>
          <w:rFonts w:hint="eastAsia" w:ascii="楷体" w:hAnsi="楷体" w:eastAsia="楷体" w:cs="楷体"/>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深化生态环境领域体制机制改革，</w:t>
      </w:r>
      <w:r>
        <w:rPr>
          <w:rFonts w:hint="eastAsia" w:ascii="Times New Roman" w:hAnsi="Times New Roman" w:eastAsia="仿宋_GB2312" w:cs="仿宋_GB2312"/>
          <w:spacing w:val="-6"/>
          <w:sz w:val="32"/>
          <w:szCs w:val="32"/>
          <w:highlight w:val="none"/>
          <w:lang w:val="en-US" w:eastAsia="zh-CN"/>
        </w:rPr>
        <w:t>探索</w:t>
      </w:r>
      <w:r>
        <w:rPr>
          <w:rFonts w:hint="default" w:ascii="Times New Roman" w:hAnsi="Times New Roman" w:eastAsia="仿宋_GB2312" w:cs="仿宋_GB2312"/>
          <w:spacing w:val="-6"/>
          <w:sz w:val="32"/>
          <w:szCs w:val="32"/>
          <w:highlight w:val="none"/>
          <w:lang w:val="en" w:eastAsia="zh-CN"/>
        </w:rPr>
        <w:t>健全多元化投入机制，</w:t>
      </w:r>
      <w:r>
        <w:rPr>
          <w:rFonts w:hint="eastAsia" w:ascii="Times New Roman" w:hAnsi="Times New Roman" w:eastAsia="仿宋_GB2312" w:cs="仿宋_GB2312"/>
          <w:spacing w:val="-6"/>
          <w:sz w:val="32"/>
          <w:szCs w:val="32"/>
          <w:highlight w:val="none"/>
          <w:lang w:val="en-US" w:eastAsia="zh-CN"/>
        </w:rPr>
        <w:t>健全美丽丁青建设财税金融、要素市场等制度体系，</w:t>
      </w:r>
      <w:r>
        <w:rPr>
          <w:rFonts w:hint="default" w:ascii="Times New Roman" w:hAnsi="Times New Roman" w:eastAsia="仿宋_GB2312" w:cs="仿宋_GB2312"/>
          <w:spacing w:val="-6"/>
          <w:sz w:val="32"/>
          <w:szCs w:val="32"/>
          <w:highlight w:val="none"/>
          <w:lang w:val="en" w:eastAsia="zh-CN"/>
        </w:rPr>
        <w:t>吸引更多社会资本参与</w:t>
      </w:r>
      <w:r>
        <w:rPr>
          <w:rFonts w:hint="eastAsia" w:ascii="Times New Roman" w:hAnsi="Times New Roman" w:eastAsia="仿宋_GB2312" w:cs="仿宋_GB2312"/>
          <w:spacing w:val="-6"/>
          <w:sz w:val="32"/>
          <w:szCs w:val="32"/>
          <w:highlight w:val="none"/>
          <w:lang w:val="en-US" w:eastAsia="zh-CN"/>
        </w:rPr>
        <w:t>生态系统保护与</w:t>
      </w:r>
      <w:r>
        <w:rPr>
          <w:rFonts w:hint="default" w:ascii="Times New Roman" w:hAnsi="Times New Roman" w:eastAsia="仿宋_GB2312" w:cs="仿宋_GB2312"/>
          <w:spacing w:val="-6"/>
          <w:sz w:val="32"/>
          <w:szCs w:val="32"/>
          <w:highlight w:val="none"/>
          <w:lang w:val="en" w:eastAsia="zh-CN"/>
        </w:rPr>
        <w:t>环境治理。提升非现场监管</w:t>
      </w:r>
      <w:r>
        <w:rPr>
          <w:rFonts w:hint="eastAsia" w:ascii="Times New Roman" w:hAnsi="Times New Roman" w:eastAsia="仿宋_GB2312" w:cs="仿宋_GB2312"/>
          <w:spacing w:val="-6"/>
          <w:sz w:val="32"/>
          <w:szCs w:val="32"/>
          <w:highlight w:val="none"/>
          <w:lang w:val="en-US" w:eastAsia="zh-CN"/>
        </w:rPr>
        <w:t>执法能力，完善智慧监测</w:t>
      </w:r>
      <w:r>
        <w:rPr>
          <w:rFonts w:hint="default" w:ascii="Times New Roman" w:hAnsi="Times New Roman" w:eastAsia="仿宋_GB2312" w:cs="仿宋_GB2312"/>
          <w:spacing w:val="-6"/>
          <w:sz w:val="32"/>
          <w:szCs w:val="32"/>
          <w:highlight w:val="none"/>
          <w:lang w:val="en" w:eastAsia="zh-CN"/>
        </w:rPr>
        <w:t>预警能力</w:t>
      </w:r>
      <w:r>
        <w:rPr>
          <w:rFonts w:hint="eastAsia" w:ascii="Times New Roman" w:hAnsi="Times New Roman" w:eastAsia="仿宋_GB2312" w:cs="仿宋_GB2312"/>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提升生态环境治理体系与治理能力现代化水平。</w:t>
      </w:r>
    </w:p>
    <w:p w14:paraId="6104D302">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b w:val="0"/>
          <w:bCs w:val="0"/>
          <w:spacing w:val="-6"/>
          <w:sz w:val="32"/>
          <w:szCs w:val="32"/>
          <w:lang w:val="en-US" w:eastAsia="zh-CN"/>
        </w:rPr>
      </w:pPr>
      <w:r>
        <w:rPr>
          <w:rFonts w:hint="eastAsia" w:ascii="楷体" w:hAnsi="楷体" w:eastAsia="楷体" w:cs="楷体"/>
          <w:spacing w:val="-6"/>
          <w:sz w:val="32"/>
          <w:szCs w:val="32"/>
          <w:highlight w:val="none"/>
          <w:lang w:val="en" w:eastAsia="zh-CN"/>
        </w:rPr>
        <w:t>坚持全民共治，凝聚社会合力。</w:t>
      </w:r>
      <w:r>
        <w:rPr>
          <w:rFonts w:hint="default" w:ascii="Times New Roman" w:hAnsi="Times New Roman" w:eastAsia="仿宋_GB2312" w:cs="仿宋_GB2312"/>
          <w:spacing w:val="-6"/>
          <w:sz w:val="32"/>
          <w:szCs w:val="32"/>
          <w:highlight w:val="none"/>
          <w:lang w:val="en" w:eastAsia="zh-CN"/>
        </w:rPr>
        <w:t>深刻认识生态环境保护是全社会共同的事业，将党的领导贯穿到美丽</w:t>
      </w:r>
      <w:r>
        <w:rPr>
          <w:rFonts w:hint="eastAsia" w:ascii="Times New Roman" w:hAnsi="Times New Roman" w:eastAsia="仿宋_GB2312" w:cs="仿宋_GB2312"/>
          <w:spacing w:val="-6"/>
          <w:sz w:val="32"/>
          <w:szCs w:val="32"/>
          <w:highlight w:val="none"/>
          <w:lang w:val="en-US" w:eastAsia="zh-CN"/>
        </w:rPr>
        <w:t>丁青</w:t>
      </w:r>
      <w:r>
        <w:rPr>
          <w:rFonts w:hint="default" w:ascii="Times New Roman" w:hAnsi="Times New Roman" w:eastAsia="仿宋_GB2312" w:cs="仿宋_GB2312"/>
          <w:spacing w:val="-6"/>
          <w:sz w:val="32"/>
          <w:szCs w:val="32"/>
          <w:highlight w:val="none"/>
          <w:lang w:val="en" w:eastAsia="zh-CN"/>
        </w:rPr>
        <w:t>建设各方面全过程</w:t>
      </w:r>
      <w:r>
        <w:rPr>
          <w:rFonts w:hint="eastAsia" w:ascii="Times New Roman" w:hAnsi="Times New Roman" w:eastAsia="仿宋_GB2312" w:cs="仿宋_GB2312"/>
          <w:spacing w:val="-6"/>
          <w:sz w:val="32"/>
          <w:szCs w:val="32"/>
          <w:highlight w:val="none"/>
          <w:lang w:val="en" w:eastAsia="zh-CN"/>
        </w:rPr>
        <w:t>，</w:t>
      </w:r>
      <w:r>
        <w:rPr>
          <w:rFonts w:hint="eastAsia" w:ascii="Times New Roman" w:hAnsi="Times New Roman" w:eastAsia="仿宋_GB2312" w:cs="仿宋_GB2312"/>
          <w:spacing w:val="-6"/>
          <w:sz w:val="32"/>
          <w:szCs w:val="32"/>
          <w:highlight w:val="none"/>
          <w:lang w:val="en-US" w:eastAsia="zh-CN"/>
        </w:rPr>
        <w:t>强化地方党政领导干部生态环境保护责任制，</w:t>
      </w:r>
      <w:r>
        <w:rPr>
          <w:rFonts w:hint="default" w:ascii="Times New Roman" w:hAnsi="Times New Roman" w:eastAsia="仿宋_GB2312" w:cs="仿宋_GB2312"/>
          <w:spacing w:val="-6"/>
          <w:sz w:val="32"/>
          <w:szCs w:val="32"/>
          <w:highlight w:val="none"/>
          <w:lang w:val="en" w:eastAsia="zh-CN"/>
        </w:rPr>
        <w:t>强化企业责任意识，健全公众监督</w:t>
      </w:r>
      <w:r>
        <w:rPr>
          <w:rFonts w:hint="eastAsia" w:ascii="Times New Roman" w:hAnsi="Times New Roman" w:eastAsia="仿宋_GB2312" w:cs="仿宋_GB2312"/>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公众参与机制</w:t>
      </w:r>
      <w:r>
        <w:rPr>
          <w:rFonts w:hint="eastAsia" w:ascii="Times New Roman" w:hAnsi="Times New Roman" w:eastAsia="仿宋_GB2312" w:cs="仿宋_GB2312"/>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提升全社会生态文明素养</w:t>
      </w:r>
      <w:r>
        <w:rPr>
          <w:rFonts w:hint="eastAsia" w:ascii="Times New Roman" w:hAnsi="Times New Roman" w:eastAsia="仿宋_GB2312" w:cs="仿宋_GB2312"/>
          <w:spacing w:val="-6"/>
          <w:sz w:val="32"/>
          <w:szCs w:val="32"/>
          <w:highlight w:val="none"/>
          <w:lang w:val="en" w:eastAsia="zh-CN"/>
        </w:rPr>
        <w:t>，</w:t>
      </w:r>
      <w:r>
        <w:rPr>
          <w:rFonts w:hint="default" w:ascii="Times New Roman" w:hAnsi="Times New Roman" w:eastAsia="仿宋_GB2312" w:cs="仿宋_GB2312"/>
          <w:spacing w:val="-6"/>
          <w:sz w:val="32"/>
          <w:szCs w:val="32"/>
          <w:highlight w:val="none"/>
          <w:lang w:val="en" w:eastAsia="zh-CN"/>
        </w:rPr>
        <w:t>构建党委领导、政府主导、企业主体和公众共同参与</w:t>
      </w:r>
      <w:r>
        <w:rPr>
          <w:rFonts w:hint="eastAsia" w:ascii="Times New Roman" w:hAnsi="Times New Roman" w:eastAsia="仿宋_GB2312" w:cs="仿宋_GB2312"/>
          <w:spacing w:val="-6"/>
          <w:sz w:val="32"/>
          <w:szCs w:val="32"/>
          <w:highlight w:val="none"/>
          <w:lang w:val="en-US" w:eastAsia="zh-CN"/>
        </w:rPr>
        <w:t>的生态环境保护格局</w:t>
      </w:r>
      <w:r>
        <w:rPr>
          <w:rFonts w:hint="default" w:ascii="Times New Roman" w:hAnsi="Times New Roman" w:eastAsia="仿宋_GB2312" w:cs="仿宋_GB2312"/>
          <w:b w:val="0"/>
          <w:bCs w:val="0"/>
          <w:spacing w:val="-6"/>
          <w:sz w:val="32"/>
          <w:szCs w:val="32"/>
          <w:lang w:val="en-US" w:eastAsia="zh-CN"/>
        </w:rPr>
        <w:t>。</w:t>
      </w:r>
    </w:p>
    <w:p w14:paraId="58B48A7F">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20" w:name="_Toc9263"/>
      <w:r>
        <w:rPr>
          <w:rFonts w:hint="eastAsia" w:ascii="黑体" w:hAnsi="黑体" w:eastAsia="黑体" w:cs="黑体"/>
          <w:b w:val="0"/>
          <w:bCs w:val="0"/>
          <w:color w:val="auto"/>
          <w:sz w:val="32"/>
          <w:szCs w:val="32"/>
          <w:highlight w:val="none"/>
          <w:lang w:val="en-US" w:eastAsia="zh-CN" w:bidi="ar-SA"/>
        </w:rPr>
        <w:t>三、主要目标</w:t>
      </w:r>
      <w:bookmarkEnd w:id="18"/>
      <w:bookmarkEnd w:id="19"/>
      <w:bookmarkEnd w:id="20"/>
    </w:p>
    <w:p w14:paraId="11FF6E91">
      <w:pPr>
        <w:spacing w:line="530" w:lineRule="exact"/>
        <w:ind w:firstLine="616" w:firstLineChars="200"/>
        <w:rPr>
          <w:rFonts w:hint="eastAsia" w:ascii="Times New Roman" w:hAnsi="Times New Roman" w:eastAsia="仿宋_GB2312" w:cs="仿宋_GB2312"/>
          <w:spacing w:val="-6"/>
          <w:sz w:val="32"/>
          <w:szCs w:val="32"/>
          <w:highlight w:val="none"/>
          <w:lang w:val="en" w:eastAsia="zh-CN"/>
        </w:rPr>
      </w:pPr>
      <w:r>
        <w:rPr>
          <w:rFonts w:hint="eastAsia" w:ascii="Times New Roman" w:hAnsi="Times New Roman" w:eastAsia="仿宋_GB2312" w:cs="仿宋_GB2312"/>
          <w:spacing w:val="-6"/>
          <w:sz w:val="32"/>
          <w:szCs w:val="32"/>
          <w:highlight w:val="none"/>
          <w:lang w:val="en" w:eastAsia="zh-CN"/>
        </w:rPr>
        <w:t>到2030年，美丽丁青建设工作取得标志性、突破性重大进展。绿色生产生活方式基本全面形成，生态产品价值实现机制</w:t>
      </w:r>
      <w:r>
        <w:rPr>
          <w:rFonts w:hint="eastAsia" w:ascii="Times New Roman" w:hAnsi="Times New Roman" w:eastAsia="仿宋_GB2312" w:cs="仿宋_GB2312"/>
          <w:spacing w:val="-6"/>
          <w:sz w:val="32"/>
          <w:szCs w:val="32"/>
          <w:highlight w:val="none"/>
          <w:lang w:val="en-US" w:eastAsia="zh-CN"/>
        </w:rPr>
        <w:t>进一步健全</w:t>
      </w:r>
      <w:r>
        <w:rPr>
          <w:rFonts w:hint="eastAsia" w:ascii="Times New Roman" w:hAnsi="Times New Roman" w:eastAsia="仿宋_GB2312" w:cs="仿宋_GB2312"/>
          <w:spacing w:val="-6"/>
          <w:sz w:val="32"/>
          <w:szCs w:val="32"/>
          <w:highlight w:val="none"/>
          <w:lang w:val="en" w:eastAsia="zh-CN"/>
        </w:rPr>
        <w:t>。</w:t>
      </w:r>
      <w:r>
        <w:rPr>
          <w:rFonts w:hint="eastAsia" w:ascii="Times New Roman" w:hAnsi="Times New Roman" w:eastAsia="仿宋_GB2312" w:cs="仿宋_GB2312"/>
          <w:spacing w:val="-6"/>
          <w:sz w:val="32"/>
          <w:szCs w:val="32"/>
          <w:highlight w:val="none"/>
          <w:lang w:val="en-US" w:eastAsia="zh-CN"/>
        </w:rPr>
        <w:t>国家重点生态功能区管控体系更加完善，区域</w:t>
      </w:r>
      <w:r>
        <w:rPr>
          <w:rFonts w:hint="eastAsia" w:ascii="Times New Roman" w:hAnsi="Times New Roman" w:eastAsia="仿宋_GB2312" w:cs="仿宋_GB2312"/>
          <w:spacing w:val="-6"/>
          <w:sz w:val="32"/>
          <w:szCs w:val="32"/>
          <w:highlight w:val="none"/>
          <w:lang w:val="en" w:eastAsia="zh-CN"/>
        </w:rPr>
        <w:t>生态系统多样性稳定性持续性不断提升。生态环境质量保持稳中向好，</w:t>
      </w:r>
      <w:r>
        <w:rPr>
          <w:rFonts w:hint="eastAsia" w:ascii="Times New Roman" w:hAnsi="Times New Roman" w:eastAsia="仿宋_GB2312" w:cs="仿宋_GB2312"/>
          <w:spacing w:val="-6"/>
          <w:sz w:val="32"/>
          <w:szCs w:val="32"/>
          <w:highlight w:val="none"/>
          <w:lang w:val="en-US" w:eastAsia="zh-CN"/>
        </w:rPr>
        <w:t>城乡人居环境质量持续提升。国家生态文明建设示范区创建成果得到持续巩固、提质增效，示范引领作用充分彰显。</w:t>
      </w:r>
      <w:r>
        <w:rPr>
          <w:rFonts w:hint="eastAsia" w:ascii="Times New Roman" w:hAnsi="Times New Roman" w:eastAsia="仿宋_GB2312" w:cs="仿宋_GB2312"/>
          <w:spacing w:val="-6"/>
          <w:sz w:val="32"/>
          <w:szCs w:val="32"/>
          <w:highlight w:val="none"/>
          <w:lang w:val="en" w:eastAsia="zh-CN"/>
        </w:rPr>
        <w:t>适应美丽</w:t>
      </w:r>
      <w:r>
        <w:rPr>
          <w:rFonts w:hint="eastAsia" w:ascii="Times New Roman" w:hAnsi="Times New Roman" w:eastAsia="仿宋_GB2312" w:cs="仿宋_GB2312"/>
          <w:spacing w:val="-6"/>
          <w:sz w:val="32"/>
          <w:szCs w:val="32"/>
          <w:highlight w:val="none"/>
          <w:lang w:val="en-US" w:eastAsia="zh-CN"/>
        </w:rPr>
        <w:t>丁青</w:t>
      </w:r>
      <w:r>
        <w:rPr>
          <w:rFonts w:hint="eastAsia" w:ascii="Times New Roman" w:hAnsi="Times New Roman" w:eastAsia="仿宋_GB2312" w:cs="仿宋_GB2312"/>
          <w:spacing w:val="-6"/>
          <w:sz w:val="32"/>
          <w:szCs w:val="32"/>
          <w:highlight w:val="none"/>
          <w:lang w:val="en" w:eastAsia="zh-CN"/>
        </w:rPr>
        <w:t>建设的生态环境治理体系日趋健全</w:t>
      </w:r>
      <w:r>
        <w:rPr>
          <w:rFonts w:hint="eastAsia" w:ascii="Times New Roman" w:hAnsi="Times New Roman" w:eastAsia="仿宋_GB2312" w:cs="仿宋_GB2312"/>
          <w:spacing w:val="-6"/>
          <w:sz w:val="32"/>
          <w:szCs w:val="32"/>
          <w:highlight w:val="none"/>
          <w:lang w:val="en-US" w:eastAsia="zh-CN"/>
        </w:rPr>
        <w:t>，</w:t>
      </w:r>
      <w:r>
        <w:rPr>
          <w:rFonts w:hint="eastAsia" w:ascii="Times New Roman" w:hAnsi="Times New Roman" w:eastAsia="仿宋_GB2312" w:cs="仿宋_GB2312"/>
          <w:spacing w:val="-6"/>
          <w:sz w:val="32"/>
          <w:szCs w:val="32"/>
          <w:highlight w:val="none"/>
          <w:lang w:val="en" w:eastAsia="zh-CN"/>
        </w:rPr>
        <w:t>治理能力现代化水平显著提升，高水平美丽</w:t>
      </w:r>
      <w:r>
        <w:rPr>
          <w:rFonts w:hint="eastAsia" w:ascii="Times New Roman" w:hAnsi="Times New Roman" w:eastAsia="仿宋_GB2312" w:cs="仿宋_GB2312"/>
          <w:spacing w:val="-6"/>
          <w:sz w:val="32"/>
          <w:szCs w:val="32"/>
          <w:highlight w:val="none"/>
          <w:lang w:val="en-US" w:eastAsia="zh-CN"/>
        </w:rPr>
        <w:t>丁青</w:t>
      </w:r>
      <w:r>
        <w:rPr>
          <w:rFonts w:hint="eastAsia" w:ascii="Times New Roman" w:hAnsi="Times New Roman" w:eastAsia="仿宋_GB2312" w:cs="仿宋_GB2312"/>
          <w:spacing w:val="-6"/>
          <w:sz w:val="32"/>
          <w:szCs w:val="32"/>
          <w:highlight w:val="none"/>
          <w:lang w:val="en" w:eastAsia="zh-CN"/>
        </w:rPr>
        <w:t>目标基本实现，全面筑牢藏东重要生态安全屏障。</w:t>
      </w:r>
    </w:p>
    <w:p w14:paraId="32F60D2F">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6"/>
          <w:sz w:val="32"/>
          <w:szCs w:val="32"/>
          <w:highlight w:val="none"/>
          <w:lang w:val="en" w:eastAsia="zh-CN"/>
        </w:rPr>
        <w:t>在此基础上再奋斗五年，到2035年全面建成人与自然和谐共生的美丽</w:t>
      </w:r>
      <w:r>
        <w:rPr>
          <w:rFonts w:hint="eastAsia" w:ascii="Times New Roman" w:hAnsi="Times New Roman" w:eastAsia="仿宋_GB2312" w:cs="仿宋_GB2312"/>
          <w:spacing w:val="-6"/>
          <w:sz w:val="32"/>
          <w:szCs w:val="32"/>
          <w:highlight w:val="none"/>
          <w:lang w:val="en-US" w:eastAsia="zh-CN"/>
        </w:rPr>
        <w:t>丁青，</w:t>
      </w:r>
      <w:r>
        <w:rPr>
          <w:rFonts w:hint="eastAsia" w:ascii="Times New Roman" w:hAnsi="Times New Roman" w:eastAsia="仿宋_GB2312" w:cs="仿宋_GB2312"/>
          <w:spacing w:val="-6"/>
          <w:sz w:val="32"/>
          <w:szCs w:val="32"/>
          <w:highlight w:val="none"/>
          <w:lang w:val="en" w:eastAsia="zh-CN"/>
        </w:rPr>
        <w:t>绿色生产生活方式广泛形成，生态环境质量实现根本好转，生态系统多样性稳定性持续性显著提升，生态产品价值实现机制全面落地，高水平美丽</w:t>
      </w:r>
      <w:r>
        <w:rPr>
          <w:rFonts w:hint="eastAsia" w:ascii="Times New Roman" w:hAnsi="Times New Roman" w:eastAsia="仿宋_GB2312" w:cs="仿宋_GB2312"/>
          <w:spacing w:val="-6"/>
          <w:sz w:val="32"/>
          <w:szCs w:val="32"/>
          <w:highlight w:val="none"/>
          <w:lang w:val="en-US" w:eastAsia="zh-CN"/>
        </w:rPr>
        <w:t>丁青</w:t>
      </w:r>
      <w:r>
        <w:rPr>
          <w:rFonts w:hint="eastAsia" w:ascii="Times New Roman" w:hAnsi="Times New Roman" w:eastAsia="仿宋_GB2312" w:cs="仿宋_GB2312"/>
          <w:spacing w:val="-6"/>
          <w:sz w:val="32"/>
          <w:szCs w:val="32"/>
          <w:highlight w:val="none"/>
          <w:lang w:val="en" w:eastAsia="zh-CN"/>
        </w:rPr>
        <w:t>目标基本实现</w:t>
      </w:r>
      <w:r>
        <w:rPr>
          <w:rFonts w:hint="eastAsia" w:ascii="Times New Roman" w:hAnsi="Times New Roman" w:eastAsia="仿宋_GB2312" w:cs="仿宋_GB2312"/>
          <w:spacing w:val="-6"/>
          <w:sz w:val="32"/>
          <w:szCs w:val="32"/>
          <w:lang w:val="en" w:eastAsia="zh-CN"/>
        </w:rPr>
        <w:t>。</w:t>
      </w:r>
    </w:p>
    <w:p w14:paraId="1147F047">
      <w:pPr>
        <w:pStyle w:val="2"/>
        <w:rPr>
          <w:rFonts w:hint="eastAsia" w:ascii="Times New Roman" w:hAnsi="Times New Roman" w:eastAsia="仿宋_GB2312" w:cs="仿宋_GB2312"/>
          <w:spacing w:val="-6"/>
          <w:sz w:val="32"/>
          <w:szCs w:val="32"/>
          <w:lang w:val="en" w:eastAsia="zh-CN"/>
        </w:rPr>
      </w:pPr>
    </w:p>
    <w:p w14:paraId="737A89FD">
      <w:pPr>
        <w:rPr>
          <w:rFonts w:hint="eastAsia"/>
          <w:lang w:val="en" w:eastAsia="zh-CN"/>
        </w:rPr>
      </w:pPr>
    </w:p>
    <w:p w14:paraId="08E161C1">
      <w:pPr>
        <w:spacing w:line="560" w:lineRule="exact"/>
        <w:ind w:firstLine="562" w:firstLineChars="200"/>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表1丁青县“十五五”生态环境保护主要指标</w:t>
      </w:r>
    </w:p>
    <w:tbl>
      <w:tblPr>
        <w:tblStyle w:val="10"/>
        <w:tblW w:w="52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18"/>
        <w:gridCol w:w="1302"/>
        <w:gridCol w:w="2845"/>
        <w:gridCol w:w="1139"/>
        <w:gridCol w:w="1248"/>
        <w:gridCol w:w="1630"/>
      </w:tblGrid>
      <w:tr w14:paraId="352F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372" w:type="pct"/>
            <w:noWrap w:val="0"/>
            <w:vAlign w:val="center"/>
          </w:tcPr>
          <w:p w14:paraId="199E6D4F">
            <w:pPr>
              <w:spacing w:line="0" w:lineRule="atLeast"/>
              <w:jc w:val="center"/>
              <w:rPr>
                <w:rFonts w:ascii="Times New Roman" w:hAnsi="Times New Roman" w:eastAsia="黑体"/>
                <w:kern w:val="0"/>
                <w:sz w:val="24"/>
              </w:rPr>
            </w:pPr>
            <w:bookmarkStart w:id="21" w:name="_Toc22685"/>
            <w:r>
              <w:rPr>
                <w:rFonts w:ascii="Times New Roman" w:hAnsi="Times New Roman" w:eastAsia="黑体"/>
                <w:kern w:val="0"/>
                <w:sz w:val="24"/>
              </w:rPr>
              <w:t>类别</w:t>
            </w:r>
          </w:p>
        </w:tc>
        <w:tc>
          <w:tcPr>
            <w:tcW w:w="374" w:type="pct"/>
            <w:noWrap w:val="0"/>
            <w:vAlign w:val="center"/>
          </w:tcPr>
          <w:p w14:paraId="1F889E5A">
            <w:pPr>
              <w:spacing w:line="0" w:lineRule="atLeast"/>
              <w:jc w:val="center"/>
              <w:rPr>
                <w:rFonts w:ascii="Times New Roman" w:hAnsi="Times New Roman" w:eastAsia="黑体"/>
                <w:kern w:val="0"/>
                <w:sz w:val="24"/>
              </w:rPr>
            </w:pPr>
            <w:r>
              <w:rPr>
                <w:rFonts w:ascii="Times New Roman" w:hAnsi="Times New Roman" w:eastAsia="黑体"/>
                <w:kern w:val="0"/>
                <w:sz w:val="24"/>
              </w:rPr>
              <w:t>序号</w:t>
            </w:r>
          </w:p>
        </w:tc>
        <w:tc>
          <w:tcPr>
            <w:tcW w:w="2160" w:type="pct"/>
            <w:gridSpan w:val="2"/>
            <w:noWrap w:val="0"/>
            <w:vAlign w:val="center"/>
          </w:tcPr>
          <w:p w14:paraId="7000CB5C">
            <w:pPr>
              <w:spacing w:line="0" w:lineRule="atLeast"/>
              <w:jc w:val="center"/>
              <w:rPr>
                <w:rFonts w:ascii="Times New Roman" w:hAnsi="Times New Roman" w:eastAsia="黑体"/>
                <w:kern w:val="0"/>
                <w:sz w:val="24"/>
              </w:rPr>
            </w:pPr>
            <w:r>
              <w:rPr>
                <w:rFonts w:ascii="Times New Roman" w:hAnsi="Times New Roman" w:eastAsia="黑体"/>
                <w:kern w:val="0"/>
                <w:sz w:val="24"/>
              </w:rPr>
              <w:t>指标</w:t>
            </w:r>
          </w:p>
        </w:tc>
        <w:tc>
          <w:tcPr>
            <w:tcW w:w="593" w:type="pct"/>
            <w:noWrap w:val="0"/>
            <w:vAlign w:val="center"/>
          </w:tcPr>
          <w:p w14:paraId="38B20DB4">
            <w:pPr>
              <w:spacing w:line="0" w:lineRule="atLeast"/>
              <w:jc w:val="center"/>
              <w:rPr>
                <w:rFonts w:ascii="Times New Roman" w:hAnsi="Times New Roman" w:eastAsia="黑体"/>
                <w:kern w:val="0"/>
                <w:sz w:val="24"/>
              </w:rPr>
            </w:pPr>
            <w:r>
              <w:rPr>
                <w:rFonts w:ascii="Times New Roman" w:hAnsi="Times New Roman" w:eastAsia="黑体"/>
                <w:kern w:val="0"/>
                <w:sz w:val="24"/>
              </w:rPr>
              <w:t>指标</w:t>
            </w:r>
          </w:p>
          <w:p w14:paraId="260580F1">
            <w:pPr>
              <w:spacing w:line="0" w:lineRule="atLeast"/>
              <w:jc w:val="center"/>
              <w:rPr>
                <w:rFonts w:ascii="Times New Roman" w:hAnsi="Times New Roman" w:eastAsia="黑体"/>
                <w:kern w:val="0"/>
                <w:sz w:val="24"/>
              </w:rPr>
            </w:pPr>
            <w:r>
              <w:rPr>
                <w:rFonts w:ascii="Times New Roman" w:hAnsi="Times New Roman" w:eastAsia="黑体"/>
                <w:kern w:val="0"/>
                <w:sz w:val="24"/>
              </w:rPr>
              <w:t>类别</w:t>
            </w:r>
          </w:p>
        </w:tc>
        <w:tc>
          <w:tcPr>
            <w:tcW w:w="650" w:type="pct"/>
            <w:noWrap w:val="0"/>
            <w:vAlign w:val="center"/>
          </w:tcPr>
          <w:p w14:paraId="684B6B24">
            <w:pPr>
              <w:spacing w:line="0" w:lineRule="atLeast"/>
              <w:jc w:val="center"/>
              <w:rPr>
                <w:rFonts w:hint="eastAsia" w:ascii="Times New Roman" w:hAnsi="Times New Roman" w:eastAsia="黑体"/>
                <w:kern w:val="0"/>
                <w:sz w:val="24"/>
                <w:lang w:val="en-US" w:eastAsia="zh-CN"/>
              </w:rPr>
            </w:pPr>
            <w:r>
              <w:rPr>
                <w:rFonts w:ascii="Times New Roman" w:hAnsi="Times New Roman" w:eastAsia="黑体"/>
                <w:kern w:val="0"/>
                <w:sz w:val="24"/>
              </w:rPr>
              <w:t>202</w:t>
            </w:r>
            <w:r>
              <w:rPr>
                <w:rFonts w:hint="eastAsia" w:ascii="Times New Roman" w:hAnsi="Times New Roman" w:eastAsia="黑体"/>
                <w:kern w:val="0"/>
                <w:sz w:val="24"/>
                <w:lang w:val="en-US" w:eastAsia="zh-CN"/>
              </w:rPr>
              <w:t>5年</w:t>
            </w:r>
          </w:p>
          <w:p w14:paraId="1846E5CD">
            <w:pPr>
              <w:spacing w:line="0" w:lineRule="atLeast"/>
              <w:jc w:val="center"/>
              <w:rPr>
                <w:rFonts w:ascii="Times New Roman" w:hAnsi="Times New Roman" w:eastAsia="黑体"/>
                <w:kern w:val="0"/>
                <w:sz w:val="24"/>
              </w:rPr>
            </w:pPr>
            <w:r>
              <w:rPr>
                <w:rFonts w:ascii="Times New Roman" w:hAnsi="Times New Roman" w:eastAsia="黑体"/>
                <w:kern w:val="0"/>
                <w:sz w:val="24"/>
              </w:rPr>
              <w:t>现状值</w:t>
            </w:r>
          </w:p>
        </w:tc>
        <w:tc>
          <w:tcPr>
            <w:tcW w:w="849" w:type="pct"/>
            <w:noWrap w:val="0"/>
            <w:vAlign w:val="center"/>
          </w:tcPr>
          <w:p w14:paraId="7D66DF12">
            <w:pPr>
              <w:spacing w:line="0" w:lineRule="atLeast"/>
              <w:jc w:val="center"/>
              <w:rPr>
                <w:rFonts w:ascii="Times New Roman" w:hAnsi="Times New Roman" w:eastAsia="黑体"/>
                <w:kern w:val="0"/>
                <w:sz w:val="24"/>
              </w:rPr>
            </w:pPr>
            <w:r>
              <w:rPr>
                <w:rFonts w:ascii="Times New Roman" w:hAnsi="Times New Roman" w:eastAsia="黑体"/>
                <w:kern w:val="0"/>
                <w:sz w:val="24"/>
              </w:rPr>
              <w:t>2030年</w:t>
            </w:r>
          </w:p>
          <w:p w14:paraId="0754D14B">
            <w:pPr>
              <w:spacing w:line="0" w:lineRule="atLeast"/>
              <w:jc w:val="center"/>
              <w:rPr>
                <w:rFonts w:ascii="Times New Roman" w:hAnsi="Times New Roman" w:eastAsia="黑体"/>
                <w:kern w:val="0"/>
                <w:sz w:val="24"/>
              </w:rPr>
            </w:pPr>
            <w:r>
              <w:rPr>
                <w:rFonts w:ascii="Times New Roman" w:hAnsi="Times New Roman" w:eastAsia="黑体"/>
                <w:kern w:val="0"/>
                <w:sz w:val="24"/>
              </w:rPr>
              <w:t>目标值</w:t>
            </w:r>
          </w:p>
        </w:tc>
      </w:tr>
      <w:tr w14:paraId="5315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2" w:type="pct"/>
            <w:vMerge w:val="restart"/>
            <w:noWrap w:val="0"/>
            <w:vAlign w:val="center"/>
          </w:tcPr>
          <w:p w14:paraId="6026B104">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环境质量改善</w:t>
            </w:r>
          </w:p>
        </w:tc>
        <w:tc>
          <w:tcPr>
            <w:tcW w:w="374" w:type="pct"/>
            <w:noWrap w:val="0"/>
            <w:vAlign w:val="center"/>
          </w:tcPr>
          <w:p w14:paraId="7A053C69">
            <w:pPr>
              <w:spacing w:line="400" w:lineRule="exact"/>
              <w:jc w:val="center"/>
              <w:rPr>
                <w:rFonts w:hint="eastAsia"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1</w:t>
            </w:r>
          </w:p>
        </w:tc>
        <w:tc>
          <w:tcPr>
            <w:tcW w:w="2160" w:type="pct"/>
            <w:gridSpan w:val="2"/>
            <w:noWrap w:val="0"/>
            <w:vAlign w:val="center"/>
          </w:tcPr>
          <w:p w14:paraId="593B4285">
            <w:pPr>
              <w:spacing w:line="0" w:lineRule="atLeast"/>
              <w:rPr>
                <w:rFonts w:ascii="Times New Roman" w:hAnsi="Times New Roman" w:eastAsia="仿宋_GB2312" w:cs="Times New Roman"/>
                <w:kern w:val="2"/>
                <w:sz w:val="24"/>
                <w:szCs w:val="24"/>
                <w:highlight w:val="none"/>
                <w:lang w:val="en-US" w:eastAsia="zh-CN" w:bidi="ar-SA"/>
              </w:rPr>
            </w:pPr>
            <w:r>
              <w:rPr>
                <w:rFonts w:ascii="Times New Roman" w:hAnsi="Times New Roman" w:eastAsia="仿宋_GB2312"/>
                <w:sz w:val="24"/>
                <w:highlight w:val="none"/>
              </w:rPr>
              <w:t>细颗粒物（PM</w:t>
            </w:r>
            <w:r>
              <w:rPr>
                <w:rFonts w:ascii="Times New Roman" w:hAnsi="Times New Roman" w:eastAsia="仿宋_GB2312"/>
                <w:sz w:val="24"/>
                <w:highlight w:val="none"/>
                <w:vertAlign w:val="subscript"/>
              </w:rPr>
              <w:t>2.5</w:t>
            </w:r>
            <w:r>
              <w:rPr>
                <w:rFonts w:ascii="Times New Roman" w:hAnsi="Times New Roman" w:eastAsia="仿宋_GB2312"/>
                <w:sz w:val="24"/>
                <w:highlight w:val="none"/>
              </w:rPr>
              <w:t>）浓度（</w:t>
            </w:r>
            <w:r>
              <w:rPr>
                <w:rFonts w:ascii="Times New Roman" w:hAnsi="Times New Roman" w:eastAsia="仿宋_GB2312"/>
                <w:spacing w:val="-2"/>
                <w:sz w:val="24"/>
                <w:highlight w:val="none"/>
              </w:rPr>
              <w:t>微克/立方米</w:t>
            </w:r>
            <w:r>
              <w:rPr>
                <w:rFonts w:ascii="Times New Roman" w:hAnsi="Times New Roman" w:eastAsia="仿宋_GB2312"/>
                <w:sz w:val="24"/>
                <w:highlight w:val="none"/>
              </w:rPr>
              <w:t>）</w:t>
            </w:r>
          </w:p>
        </w:tc>
        <w:tc>
          <w:tcPr>
            <w:tcW w:w="593" w:type="pct"/>
            <w:noWrap w:val="0"/>
            <w:vAlign w:val="center"/>
          </w:tcPr>
          <w:p w14:paraId="4FEC9E9A">
            <w:pPr>
              <w:spacing w:line="0" w:lineRule="atLeast"/>
              <w:jc w:val="center"/>
              <w:rPr>
                <w:rFonts w:ascii="Times New Roman" w:hAnsi="Times New Roman" w:eastAsia="仿宋_GB2312" w:cs="Times New Roman"/>
                <w:kern w:val="0"/>
                <w:sz w:val="24"/>
                <w:szCs w:val="24"/>
                <w:highlight w:val="none"/>
                <w:lang w:val="en-US" w:eastAsia="zh-CN" w:bidi="ar-SA"/>
              </w:rPr>
            </w:pPr>
            <w:r>
              <w:rPr>
                <w:rFonts w:ascii="Times New Roman" w:hAnsi="Times New Roman" w:eastAsia="仿宋_GB2312"/>
                <w:kern w:val="0"/>
                <w:sz w:val="24"/>
                <w:highlight w:val="none"/>
                <w:lang w:bidi="ar"/>
              </w:rPr>
              <w:t>约束性</w:t>
            </w:r>
          </w:p>
        </w:tc>
        <w:tc>
          <w:tcPr>
            <w:tcW w:w="650" w:type="pct"/>
            <w:noWrap w:val="0"/>
            <w:vAlign w:val="center"/>
          </w:tcPr>
          <w:p w14:paraId="68AC82BD">
            <w:pPr>
              <w:spacing w:line="400" w:lineRule="exact"/>
              <w:jc w:val="center"/>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spacing w:val="0"/>
                <w:sz w:val="24"/>
                <w:highlight w:val="none"/>
                <w:lang w:val="en-US" w:eastAsia="zh-CN"/>
              </w:rPr>
              <w:t>15</w:t>
            </w:r>
          </w:p>
        </w:tc>
        <w:tc>
          <w:tcPr>
            <w:tcW w:w="849" w:type="pct"/>
            <w:noWrap w:val="0"/>
            <w:vAlign w:val="center"/>
          </w:tcPr>
          <w:p w14:paraId="065C2674">
            <w:pPr>
              <w:spacing w:line="400" w:lineRule="exact"/>
              <w:jc w:val="center"/>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olor w:val="auto"/>
                <w:spacing w:val="0"/>
                <w:sz w:val="24"/>
                <w:highlight w:val="none"/>
                <w:lang w:val="en-US" w:eastAsia="zh-CN"/>
              </w:rPr>
              <w:t>&lt;15</w:t>
            </w:r>
          </w:p>
        </w:tc>
      </w:tr>
      <w:tr w14:paraId="04AA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2" w:type="pct"/>
            <w:vMerge w:val="continue"/>
            <w:noWrap w:val="0"/>
            <w:vAlign w:val="center"/>
          </w:tcPr>
          <w:p w14:paraId="40DEF96A">
            <w:pPr>
              <w:spacing w:line="400" w:lineRule="exact"/>
              <w:jc w:val="center"/>
              <w:rPr>
                <w:rFonts w:ascii="Times New Roman" w:hAnsi="Times New Roman" w:eastAsia="仿宋_GB2312"/>
                <w:kern w:val="0"/>
                <w:sz w:val="24"/>
                <w:lang w:bidi="ar"/>
              </w:rPr>
            </w:pPr>
          </w:p>
        </w:tc>
        <w:tc>
          <w:tcPr>
            <w:tcW w:w="374" w:type="pct"/>
            <w:noWrap w:val="0"/>
            <w:vAlign w:val="center"/>
          </w:tcPr>
          <w:p w14:paraId="2588E462">
            <w:pPr>
              <w:spacing w:line="400" w:lineRule="exact"/>
              <w:jc w:val="center"/>
              <w:rPr>
                <w:rFonts w:hint="eastAsia"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2</w:t>
            </w:r>
          </w:p>
        </w:tc>
        <w:tc>
          <w:tcPr>
            <w:tcW w:w="2160" w:type="pct"/>
            <w:gridSpan w:val="2"/>
            <w:noWrap w:val="0"/>
            <w:vAlign w:val="center"/>
          </w:tcPr>
          <w:p w14:paraId="55E5B182">
            <w:pPr>
              <w:spacing w:line="0" w:lineRule="atLeast"/>
              <w:rPr>
                <w:rFonts w:ascii="Times New Roman" w:hAnsi="Times New Roman" w:eastAsia="仿宋_GB2312" w:cs="Times New Roman"/>
                <w:kern w:val="2"/>
                <w:sz w:val="24"/>
                <w:szCs w:val="24"/>
                <w:highlight w:val="none"/>
                <w:lang w:val="en-US" w:eastAsia="zh-CN" w:bidi="ar-SA"/>
              </w:rPr>
            </w:pPr>
            <w:r>
              <w:rPr>
                <w:rFonts w:ascii="Times New Roman" w:hAnsi="Times New Roman" w:eastAsia="仿宋_GB2312"/>
                <w:spacing w:val="-3"/>
                <w:sz w:val="24"/>
                <w:highlight w:val="none"/>
              </w:rPr>
              <w:t>空气质量优良天数比</w:t>
            </w:r>
            <w:r>
              <w:rPr>
                <w:rFonts w:hint="eastAsia" w:ascii="Times New Roman" w:hAnsi="Times New Roman" w:eastAsia="仿宋_GB2312"/>
                <w:spacing w:val="-3"/>
                <w:sz w:val="24"/>
                <w:highlight w:val="none"/>
                <w:lang w:val="en-US" w:eastAsia="zh-CN"/>
              </w:rPr>
              <w:t>率</w:t>
            </w:r>
            <w:r>
              <w:rPr>
                <w:rFonts w:ascii="Times New Roman" w:hAnsi="Times New Roman" w:eastAsia="仿宋_GB2312"/>
                <w:kern w:val="0"/>
                <w:sz w:val="24"/>
                <w:highlight w:val="none"/>
                <w:lang w:bidi="ar"/>
              </w:rPr>
              <w:t>（%）</w:t>
            </w:r>
          </w:p>
        </w:tc>
        <w:tc>
          <w:tcPr>
            <w:tcW w:w="593" w:type="pct"/>
            <w:noWrap w:val="0"/>
            <w:vAlign w:val="center"/>
          </w:tcPr>
          <w:p w14:paraId="573AE2BA">
            <w:pPr>
              <w:spacing w:line="0" w:lineRule="atLeast"/>
              <w:jc w:val="center"/>
              <w:rPr>
                <w:rFonts w:ascii="Times New Roman" w:hAnsi="Times New Roman" w:eastAsia="仿宋_GB2312" w:cs="Times New Roman"/>
                <w:kern w:val="0"/>
                <w:sz w:val="24"/>
                <w:szCs w:val="24"/>
                <w:highlight w:val="none"/>
                <w:lang w:val="en-US" w:eastAsia="zh-CN" w:bidi="ar-SA"/>
              </w:rPr>
            </w:pPr>
            <w:r>
              <w:rPr>
                <w:rFonts w:ascii="Times New Roman" w:hAnsi="Times New Roman" w:eastAsia="仿宋_GB2312"/>
                <w:kern w:val="0"/>
                <w:sz w:val="24"/>
                <w:highlight w:val="none"/>
                <w:lang w:bidi="ar"/>
              </w:rPr>
              <w:t>约束性</w:t>
            </w:r>
          </w:p>
        </w:tc>
        <w:tc>
          <w:tcPr>
            <w:tcW w:w="650" w:type="pct"/>
            <w:noWrap w:val="0"/>
            <w:vAlign w:val="center"/>
          </w:tcPr>
          <w:p w14:paraId="66576174">
            <w:pPr>
              <w:spacing w:line="400" w:lineRule="exact"/>
              <w:jc w:val="center"/>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100</w:t>
            </w:r>
          </w:p>
        </w:tc>
        <w:tc>
          <w:tcPr>
            <w:tcW w:w="849" w:type="pct"/>
            <w:noWrap w:val="0"/>
            <w:vAlign w:val="center"/>
          </w:tcPr>
          <w:p w14:paraId="42424B91">
            <w:pPr>
              <w:spacing w:line="400" w:lineRule="exact"/>
              <w:jc w:val="center"/>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100</w:t>
            </w:r>
          </w:p>
        </w:tc>
      </w:tr>
      <w:tr w14:paraId="195A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72" w:type="pct"/>
            <w:vMerge w:val="continue"/>
            <w:noWrap w:val="0"/>
            <w:vAlign w:val="center"/>
          </w:tcPr>
          <w:p w14:paraId="04C30FD5">
            <w:pPr>
              <w:spacing w:line="400" w:lineRule="exact"/>
              <w:jc w:val="center"/>
              <w:rPr>
                <w:rFonts w:ascii="Times New Roman" w:hAnsi="Times New Roman" w:eastAsia="仿宋_GB2312"/>
                <w:kern w:val="0"/>
                <w:sz w:val="24"/>
                <w:lang w:bidi="ar"/>
              </w:rPr>
            </w:pPr>
          </w:p>
        </w:tc>
        <w:tc>
          <w:tcPr>
            <w:tcW w:w="374" w:type="pct"/>
            <w:noWrap w:val="0"/>
            <w:vAlign w:val="center"/>
          </w:tcPr>
          <w:p w14:paraId="441C0031">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3</w:t>
            </w:r>
          </w:p>
        </w:tc>
        <w:tc>
          <w:tcPr>
            <w:tcW w:w="2160" w:type="pct"/>
            <w:gridSpan w:val="2"/>
            <w:noWrap w:val="0"/>
            <w:vAlign w:val="center"/>
          </w:tcPr>
          <w:p w14:paraId="42FCB075">
            <w:pPr>
              <w:spacing w:line="0" w:lineRule="atLeast"/>
              <w:rPr>
                <w:rFonts w:hint="default" w:ascii="Times New Roman" w:hAnsi="Times New Roman" w:eastAsia="仿宋_GB2312"/>
                <w:spacing w:val="-3"/>
                <w:sz w:val="24"/>
                <w:lang w:val="en-US" w:eastAsia="zh-CN"/>
              </w:rPr>
            </w:pPr>
            <w:r>
              <w:rPr>
                <w:rFonts w:hint="eastAsia" w:ascii="Times New Roman" w:hAnsi="Times New Roman" w:eastAsia="仿宋_GB2312"/>
                <w:spacing w:val="-3"/>
                <w:sz w:val="24"/>
                <w:lang w:val="en-US" w:eastAsia="zh-CN"/>
              </w:rPr>
              <w:t>重度及以上污染天数比率（%）</w:t>
            </w:r>
          </w:p>
        </w:tc>
        <w:tc>
          <w:tcPr>
            <w:tcW w:w="593" w:type="pct"/>
            <w:noWrap w:val="0"/>
            <w:vAlign w:val="center"/>
          </w:tcPr>
          <w:p w14:paraId="7A50A19D">
            <w:pPr>
              <w:spacing w:line="0" w:lineRule="atLeast"/>
              <w:jc w:val="center"/>
              <w:rPr>
                <w:rFonts w:ascii="Times New Roman" w:hAnsi="Times New Roman" w:eastAsia="仿宋_GB2312"/>
                <w:kern w:val="0"/>
                <w:sz w:val="24"/>
                <w:lang w:bidi="ar"/>
              </w:rPr>
            </w:pPr>
            <w:r>
              <w:rPr>
                <w:rFonts w:ascii="Times New Roman" w:hAnsi="Times New Roman" w:eastAsia="仿宋_GB2312"/>
                <w:spacing w:val="-3"/>
                <w:sz w:val="24"/>
              </w:rPr>
              <w:t>预期性</w:t>
            </w:r>
          </w:p>
        </w:tc>
        <w:tc>
          <w:tcPr>
            <w:tcW w:w="650" w:type="pct"/>
            <w:noWrap w:val="0"/>
            <w:vAlign w:val="center"/>
          </w:tcPr>
          <w:p w14:paraId="3D791708">
            <w:pPr>
              <w:spacing w:line="400" w:lineRule="exact"/>
              <w:jc w:val="center"/>
              <w:rPr>
                <w:rFonts w:hint="default" w:ascii="Times New Roman" w:hAnsi="Times New Roman" w:eastAsia="仿宋_GB2312"/>
                <w:sz w:val="24"/>
                <w:lang w:val="en-US" w:eastAsia="zh-CN"/>
              </w:rPr>
            </w:pPr>
            <w:r>
              <w:rPr>
                <w:rFonts w:hint="eastAsia" w:ascii="Times New Roman" w:hAnsi="Times New Roman" w:eastAsia="仿宋_GB2312"/>
                <w:sz w:val="24"/>
                <w:lang w:val="en-US" w:eastAsia="zh-CN"/>
              </w:rPr>
              <w:t>0</w:t>
            </w:r>
          </w:p>
        </w:tc>
        <w:tc>
          <w:tcPr>
            <w:tcW w:w="849" w:type="pct"/>
            <w:noWrap w:val="0"/>
            <w:vAlign w:val="center"/>
          </w:tcPr>
          <w:p w14:paraId="57752BDB">
            <w:pPr>
              <w:spacing w:line="400" w:lineRule="exact"/>
              <w:jc w:val="center"/>
              <w:rPr>
                <w:rFonts w:hint="default" w:ascii="Times New Roman" w:hAnsi="Times New Roman" w:eastAsia="仿宋_GB2312"/>
                <w:color w:val="auto"/>
                <w:sz w:val="24"/>
                <w:lang w:val="en-US" w:eastAsia="zh-CN"/>
              </w:rPr>
            </w:pPr>
            <w:r>
              <w:rPr>
                <w:rFonts w:hint="eastAsia" w:ascii="Times New Roman" w:hAnsi="Times New Roman" w:eastAsia="仿宋_GB2312"/>
                <w:color w:val="auto"/>
                <w:sz w:val="24"/>
                <w:lang w:val="en-US" w:eastAsia="zh-CN"/>
              </w:rPr>
              <w:t>0</w:t>
            </w:r>
          </w:p>
        </w:tc>
      </w:tr>
      <w:tr w14:paraId="3F8A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72" w:type="pct"/>
            <w:vMerge w:val="continue"/>
            <w:noWrap w:val="0"/>
            <w:vAlign w:val="center"/>
          </w:tcPr>
          <w:p w14:paraId="117C2EE3">
            <w:pPr>
              <w:spacing w:line="400" w:lineRule="exact"/>
              <w:jc w:val="center"/>
              <w:rPr>
                <w:rFonts w:ascii="Times New Roman" w:hAnsi="Times New Roman" w:eastAsia="仿宋_GB2312"/>
                <w:kern w:val="0"/>
                <w:sz w:val="24"/>
                <w:lang w:bidi="ar"/>
              </w:rPr>
            </w:pPr>
          </w:p>
        </w:tc>
        <w:tc>
          <w:tcPr>
            <w:tcW w:w="374" w:type="pct"/>
            <w:noWrap w:val="0"/>
            <w:vAlign w:val="center"/>
          </w:tcPr>
          <w:p w14:paraId="51D137F2">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4</w:t>
            </w:r>
          </w:p>
        </w:tc>
        <w:tc>
          <w:tcPr>
            <w:tcW w:w="2160" w:type="pct"/>
            <w:gridSpan w:val="2"/>
            <w:noWrap w:val="0"/>
            <w:vAlign w:val="center"/>
          </w:tcPr>
          <w:p w14:paraId="37FEB8A3">
            <w:pPr>
              <w:spacing w:line="0" w:lineRule="atLeast"/>
              <w:rPr>
                <w:rFonts w:hint="default" w:ascii="Times New Roman" w:hAnsi="Times New Roman" w:eastAsia="仿宋_GB2312"/>
                <w:sz w:val="24"/>
                <w:lang w:val="en-US" w:eastAsia="zh-CN"/>
              </w:rPr>
            </w:pPr>
            <w:r>
              <w:rPr>
                <w:rFonts w:hint="eastAsia" w:ascii="Times New Roman" w:hAnsi="Times New Roman" w:eastAsia="仿宋_GB2312"/>
                <w:sz w:val="24"/>
                <w:lang w:val="en-US" w:eastAsia="zh-CN"/>
              </w:rPr>
              <w:t>优良水体比例（%）</w:t>
            </w:r>
          </w:p>
        </w:tc>
        <w:tc>
          <w:tcPr>
            <w:tcW w:w="593" w:type="pct"/>
            <w:noWrap w:val="0"/>
            <w:vAlign w:val="center"/>
          </w:tcPr>
          <w:p w14:paraId="02635787">
            <w:pPr>
              <w:spacing w:line="0" w:lineRule="atLeast"/>
              <w:jc w:val="center"/>
              <w:rPr>
                <w:rFonts w:ascii="Times New Roman" w:hAnsi="Times New Roman" w:eastAsia="仿宋_GB2312"/>
                <w:kern w:val="0"/>
                <w:sz w:val="24"/>
                <w:lang w:bidi="ar"/>
              </w:rPr>
            </w:pPr>
            <w:r>
              <w:rPr>
                <w:rFonts w:ascii="Times New Roman" w:hAnsi="Times New Roman" w:eastAsia="仿宋_GB2312"/>
                <w:kern w:val="0"/>
                <w:sz w:val="24"/>
                <w:lang w:bidi="ar"/>
              </w:rPr>
              <w:t>约束性</w:t>
            </w:r>
          </w:p>
        </w:tc>
        <w:tc>
          <w:tcPr>
            <w:tcW w:w="650" w:type="pct"/>
            <w:noWrap w:val="0"/>
            <w:vAlign w:val="center"/>
          </w:tcPr>
          <w:p w14:paraId="38A79B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spacing w:val="0"/>
                <w:kern w:val="2"/>
                <w:sz w:val="24"/>
                <w:szCs w:val="24"/>
                <w:lang w:val="en-US" w:eastAsia="zh-CN" w:bidi="ar-SA"/>
              </w:rPr>
            </w:pPr>
            <w:r>
              <w:rPr>
                <w:rFonts w:hint="eastAsia" w:ascii="Times New Roman" w:hAnsi="Times New Roman" w:eastAsia="仿宋_GB2312"/>
                <w:spacing w:val="0"/>
                <w:sz w:val="24"/>
                <w:lang w:eastAsia="zh-CN"/>
              </w:rPr>
              <w:t>—</w:t>
            </w:r>
          </w:p>
        </w:tc>
        <w:tc>
          <w:tcPr>
            <w:tcW w:w="849" w:type="pct"/>
            <w:noWrap w:val="0"/>
            <w:vAlign w:val="center"/>
          </w:tcPr>
          <w:p w14:paraId="0F6007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olor w:val="auto"/>
                <w:spacing w:val="0"/>
                <w:kern w:val="2"/>
                <w:sz w:val="24"/>
                <w:szCs w:val="24"/>
                <w:lang w:val="en-US" w:eastAsia="zh-CN" w:bidi="ar-SA"/>
              </w:rPr>
            </w:pPr>
            <w:r>
              <w:rPr>
                <w:rFonts w:hint="eastAsia" w:ascii="Times New Roman" w:hAnsi="Times New Roman" w:eastAsia="仿宋_GB2312"/>
                <w:color w:val="auto"/>
                <w:spacing w:val="0"/>
                <w:kern w:val="0"/>
                <w:sz w:val="24"/>
                <w:lang w:bidi="ar"/>
              </w:rPr>
              <w:t>完成昌都市目标考核</w:t>
            </w:r>
          </w:p>
        </w:tc>
      </w:tr>
      <w:tr w14:paraId="6BCD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2" w:type="pct"/>
            <w:vMerge w:val="continue"/>
            <w:noWrap w:val="0"/>
            <w:vAlign w:val="center"/>
          </w:tcPr>
          <w:p w14:paraId="66FCCAC0">
            <w:pPr>
              <w:spacing w:line="400" w:lineRule="exact"/>
              <w:jc w:val="center"/>
              <w:rPr>
                <w:rFonts w:ascii="Times New Roman" w:hAnsi="Times New Roman" w:eastAsia="仿宋_GB2312"/>
                <w:kern w:val="0"/>
                <w:sz w:val="24"/>
                <w:lang w:bidi="ar"/>
              </w:rPr>
            </w:pPr>
          </w:p>
        </w:tc>
        <w:tc>
          <w:tcPr>
            <w:tcW w:w="374" w:type="pct"/>
            <w:noWrap w:val="0"/>
            <w:vAlign w:val="center"/>
          </w:tcPr>
          <w:p w14:paraId="68DF8499">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5</w:t>
            </w:r>
          </w:p>
        </w:tc>
        <w:tc>
          <w:tcPr>
            <w:tcW w:w="2160" w:type="pct"/>
            <w:gridSpan w:val="2"/>
            <w:noWrap w:val="0"/>
            <w:vAlign w:val="center"/>
          </w:tcPr>
          <w:p w14:paraId="750BD98B">
            <w:pPr>
              <w:spacing w:line="0" w:lineRule="atLeast"/>
              <w:rPr>
                <w:rFonts w:hint="default" w:ascii="Times New Roman" w:hAnsi="Times New Roman" w:eastAsia="仿宋_GB2312"/>
                <w:sz w:val="24"/>
                <w:lang w:val="en-US" w:eastAsia="zh-CN"/>
              </w:rPr>
            </w:pPr>
            <w:r>
              <w:rPr>
                <w:rFonts w:hint="eastAsia" w:ascii="Times New Roman" w:hAnsi="Times New Roman" w:eastAsia="仿宋_GB2312"/>
                <w:sz w:val="24"/>
                <w:lang w:val="en-US" w:eastAsia="zh-CN"/>
              </w:rPr>
              <w:t>达到或好于Ⅲ类水质比例（%）</w:t>
            </w:r>
          </w:p>
        </w:tc>
        <w:tc>
          <w:tcPr>
            <w:tcW w:w="593" w:type="pct"/>
            <w:noWrap w:val="0"/>
            <w:vAlign w:val="center"/>
          </w:tcPr>
          <w:p w14:paraId="6092D909">
            <w:pPr>
              <w:spacing w:line="0" w:lineRule="atLeast"/>
              <w:jc w:val="center"/>
              <w:rPr>
                <w:rFonts w:ascii="Times New Roman" w:hAnsi="Times New Roman" w:eastAsia="仿宋_GB2312"/>
                <w:kern w:val="0"/>
                <w:sz w:val="24"/>
                <w:lang w:bidi="ar"/>
              </w:rPr>
            </w:pPr>
            <w:r>
              <w:rPr>
                <w:rFonts w:ascii="Times New Roman" w:hAnsi="Times New Roman" w:eastAsia="仿宋_GB2312"/>
                <w:spacing w:val="-3"/>
                <w:sz w:val="24"/>
              </w:rPr>
              <w:t>预期性</w:t>
            </w:r>
          </w:p>
        </w:tc>
        <w:tc>
          <w:tcPr>
            <w:tcW w:w="650" w:type="pct"/>
            <w:noWrap w:val="0"/>
            <w:vAlign w:val="center"/>
          </w:tcPr>
          <w:p w14:paraId="6C6A83A7">
            <w:pPr>
              <w:spacing w:line="0" w:lineRule="atLeast"/>
              <w:jc w:val="center"/>
              <w:rPr>
                <w:rFonts w:hint="default" w:ascii="Times New Roman" w:hAnsi="Times New Roman" w:eastAsia="仿宋_GB2312"/>
                <w:spacing w:val="-2"/>
                <w:kern w:val="2"/>
                <w:sz w:val="24"/>
                <w:szCs w:val="24"/>
                <w:lang w:val="en-US" w:eastAsia="zh-CN" w:bidi="ar-SA"/>
              </w:rPr>
            </w:pPr>
            <w:r>
              <w:rPr>
                <w:rFonts w:hint="eastAsia" w:ascii="Times New Roman" w:hAnsi="Times New Roman" w:eastAsia="仿宋_GB2312"/>
                <w:spacing w:val="-2"/>
                <w:sz w:val="24"/>
                <w:lang w:val="en-US" w:eastAsia="zh-CN"/>
              </w:rPr>
              <w:t>100</w:t>
            </w:r>
          </w:p>
        </w:tc>
        <w:tc>
          <w:tcPr>
            <w:tcW w:w="849" w:type="pct"/>
            <w:noWrap w:val="0"/>
            <w:vAlign w:val="center"/>
          </w:tcPr>
          <w:p w14:paraId="03F5CDC0">
            <w:pPr>
              <w:spacing w:line="0" w:lineRule="atLeast"/>
              <w:jc w:val="center"/>
              <w:rPr>
                <w:rFonts w:hint="default" w:ascii="Times New Roman" w:hAnsi="Times New Roman" w:eastAsia="仿宋_GB2312"/>
                <w:color w:val="auto"/>
                <w:spacing w:val="-2"/>
                <w:kern w:val="2"/>
                <w:sz w:val="24"/>
                <w:szCs w:val="24"/>
                <w:lang w:val="en-US" w:eastAsia="zh-CN" w:bidi="ar-SA"/>
              </w:rPr>
            </w:pPr>
            <w:r>
              <w:rPr>
                <w:rFonts w:hint="eastAsia" w:ascii="Times New Roman" w:hAnsi="Times New Roman" w:eastAsia="仿宋_GB2312"/>
                <w:color w:val="auto"/>
                <w:spacing w:val="-2"/>
                <w:sz w:val="24"/>
                <w:lang w:val="en-US" w:eastAsia="zh-CN"/>
              </w:rPr>
              <w:t>100</w:t>
            </w:r>
          </w:p>
        </w:tc>
      </w:tr>
      <w:tr w14:paraId="7539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72" w:type="pct"/>
            <w:vMerge w:val="continue"/>
            <w:noWrap w:val="0"/>
            <w:vAlign w:val="center"/>
          </w:tcPr>
          <w:p w14:paraId="3E4F965A">
            <w:pPr>
              <w:spacing w:line="400" w:lineRule="exact"/>
              <w:jc w:val="center"/>
              <w:rPr>
                <w:rFonts w:ascii="Times New Roman" w:hAnsi="Times New Roman" w:eastAsia="仿宋_GB2312"/>
                <w:kern w:val="0"/>
                <w:sz w:val="24"/>
                <w:lang w:bidi="ar"/>
              </w:rPr>
            </w:pPr>
          </w:p>
        </w:tc>
        <w:tc>
          <w:tcPr>
            <w:tcW w:w="374" w:type="pct"/>
            <w:noWrap w:val="0"/>
            <w:vAlign w:val="center"/>
          </w:tcPr>
          <w:p w14:paraId="5DF7F315">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7</w:t>
            </w:r>
          </w:p>
        </w:tc>
        <w:tc>
          <w:tcPr>
            <w:tcW w:w="2160" w:type="pct"/>
            <w:gridSpan w:val="2"/>
            <w:noWrap w:val="0"/>
            <w:vAlign w:val="center"/>
          </w:tcPr>
          <w:p w14:paraId="28D7C206">
            <w:pPr>
              <w:spacing w:line="0" w:lineRule="atLeast"/>
              <w:rPr>
                <w:rFonts w:ascii="Times New Roman" w:hAnsi="Times New Roman" w:eastAsia="仿宋_GB2312"/>
                <w:color w:val="auto"/>
                <w:spacing w:val="-3"/>
                <w:sz w:val="24"/>
                <w:highlight w:val="none"/>
              </w:rPr>
            </w:pPr>
            <w:r>
              <w:rPr>
                <w:rFonts w:hint="eastAsia" w:ascii="Times New Roman" w:hAnsi="Times New Roman" w:eastAsia="仿宋_GB2312"/>
                <w:color w:val="auto"/>
                <w:spacing w:val="-3"/>
                <w:sz w:val="24"/>
                <w:highlight w:val="none"/>
              </w:rPr>
              <w:t>城镇</w:t>
            </w:r>
            <w:r>
              <w:rPr>
                <w:rFonts w:hint="eastAsia" w:ascii="Times New Roman" w:hAnsi="Times New Roman" w:eastAsia="仿宋_GB2312"/>
                <w:color w:val="auto"/>
                <w:spacing w:val="-3"/>
                <w:sz w:val="24"/>
                <w:highlight w:val="none"/>
                <w:lang w:val="en-US" w:eastAsia="zh-CN"/>
              </w:rPr>
              <w:t>生活</w:t>
            </w:r>
            <w:r>
              <w:rPr>
                <w:rFonts w:hint="eastAsia" w:ascii="Times New Roman" w:hAnsi="Times New Roman" w:eastAsia="仿宋_GB2312"/>
                <w:color w:val="auto"/>
                <w:spacing w:val="-3"/>
                <w:sz w:val="24"/>
                <w:highlight w:val="none"/>
              </w:rPr>
              <w:t>污水集中处理率（%）</w:t>
            </w:r>
          </w:p>
        </w:tc>
        <w:tc>
          <w:tcPr>
            <w:tcW w:w="593" w:type="pct"/>
            <w:noWrap w:val="0"/>
            <w:vAlign w:val="center"/>
          </w:tcPr>
          <w:p w14:paraId="69DD9E73">
            <w:pPr>
              <w:spacing w:line="0" w:lineRule="atLeast"/>
              <w:jc w:val="center"/>
              <w:rPr>
                <w:rFonts w:ascii="Times New Roman" w:hAnsi="Times New Roman" w:eastAsia="仿宋_GB2312"/>
                <w:color w:val="auto"/>
                <w:spacing w:val="-3"/>
                <w:sz w:val="24"/>
                <w:highlight w:val="none"/>
              </w:rPr>
            </w:pPr>
            <w:r>
              <w:rPr>
                <w:rFonts w:ascii="Times New Roman" w:hAnsi="Times New Roman" w:eastAsia="仿宋_GB2312"/>
                <w:color w:val="auto"/>
                <w:spacing w:val="-3"/>
                <w:sz w:val="24"/>
                <w:highlight w:val="none"/>
              </w:rPr>
              <w:t>预期性</w:t>
            </w:r>
          </w:p>
        </w:tc>
        <w:tc>
          <w:tcPr>
            <w:tcW w:w="650" w:type="pct"/>
            <w:noWrap w:val="0"/>
            <w:vAlign w:val="center"/>
          </w:tcPr>
          <w:p w14:paraId="3A0CB455">
            <w:pPr>
              <w:spacing w:line="0" w:lineRule="atLeast"/>
              <w:jc w:val="center"/>
              <w:rPr>
                <w:rFonts w:hint="default" w:ascii="Times New Roman" w:hAnsi="Times New Roman" w:eastAsia="仿宋_GB2312" w:cs="Times New Roman"/>
                <w:color w:val="auto"/>
                <w:spacing w:val="-2"/>
                <w:sz w:val="24"/>
                <w:highlight w:val="yellow"/>
                <w:lang w:val="en-US" w:eastAsia="zh-CN"/>
              </w:rPr>
            </w:pPr>
            <w:r>
              <w:rPr>
                <w:rFonts w:hint="eastAsia" w:ascii="Times New Roman" w:hAnsi="Times New Roman" w:eastAsia="仿宋_GB2312" w:cs="Times New Roman"/>
                <w:kern w:val="2"/>
                <w:sz w:val="24"/>
                <w:szCs w:val="24"/>
                <w:highlight w:val="yellow"/>
                <w:lang w:val="en-US" w:eastAsia="zh-CN" w:bidi="ar-SA"/>
              </w:rPr>
              <w:t>xx</w:t>
            </w:r>
          </w:p>
        </w:tc>
        <w:tc>
          <w:tcPr>
            <w:tcW w:w="849" w:type="pct"/>
            <w:noWrap w:val="0"/>
            <w:vAlign w:val="center"/>
          </w:tcPr>
          <w:p w14:paraId="303D5C14">
            <w:pPr>
              <w:spacing w:line="0" w:lineRule="atLeast"/>
              <w:jc w:val="center"/>
              <w:rPr>
                <w:rFonts w:hint="default" w:ascii="Times New Roman" w:hAnsi="Times New Roman" w:eastAsia="仿宋_GB2312" w:cs="Times New Roman"/>
                <w:color w:val="auto"/>
                <w:spacing w:val="-2"/>
                <w:sz w:val="24"/>
                <w:highlight w:val="yellow"/>
                <w:lang w:val="en-US" w:eastAsia="zh-CN"/>
              </w:rPr>
            </w:pPr>
            <w:r>
              <w:rPr>
                <w:rFonts w:hint="eastAsia" w:ascii="Times New Roman" w:hAnsi="Times New Roman" w:eastAsia="仿宋_GB2312" w:cs="Times New Roman"/>
                <w:color w:val="auto"/>
                <w:spacing w:val="-2"/>
                <w:sz w:val="24"/>
                <w:highlight w:val="none"/>
                <w:lang w:val="en-US" w:eastAsia="zh-CN"/>
              </w:rPr>
              <w:t>&gt;95</w:t>
            </w:r>
          </w:p>
        </w:tc>
      </w:tr>
      <w:tr w14:paraId="705D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72" w:type="pct"/>
            <w:vMerge w:val="continue"/>
            <w:noWrap w:val="0"/>
            <w:vAlign w:val="center"/>
          </w:tcPr>
          <w:p w14:paraId="49E373F2">
            <w:pPr>
              <w:spacing w:line="400" w:lineRule="exact"/>
              <w:jc w:val="center"/>
              <w:rPr>
                <w:rFonts w:ascii="Times New Roman" w:hAnsi="Times New Roman" w:eastAsia="仿宋_GB2312"/>
                <w:kern w:val="0"/>
                <w:sz w:val="24"/>
                <w:lang w:bidi="ar"/>
              </w:rPr>
            </w:pPr>
          </w:p>
        </w:tc>
        <w:tc>
          <w:tcPr>
            <w:tcW w:w="374" w:type="pct"/>
            <w:noWrap w:val="0"/>
            <w:vAlign w:val="center"/>
          </w:tcPr>
          <w:p w14:paraId="2E807CE9">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8</w:t>
            </w:r>
          </w:p>
        </w:tc>
        <w:tc>
          <w:tcPr>
            <w:tcW w:w="2160" w:type="pct"/>
            <w:gridSpan w:val="2"/>
            <w:noWrap w:val="0"/>
            <w:vAlign w:val="center"/>
          </w:tcPr>
          <w:p w14:paraId="3F2DE5B6">
            <w:pPr>
              <w:spacing w:line="0" w:lineRule="atLeast"/>
              <w:rPr>
                <w:rFonts w:ascii="Times New Roman" w:hAnsi="Times New Roman" w:eastAsia="仿宋_GB2312"/>
                <w:spacing w:val="-3"/>
                <w:sz w:val="24"/>
                <w:highlight w:val="none"/>
              </w:rPr>
            </w:pPr>
            <w:r>
              <w:rPr>
                <w:rFonts w:hint="eastAsia" w:ascii="Times New Roman" w:hAnsi="Times New Roman" w:eastAsia="仿宋_GB2312"/>
                <w:spacing w:val="-3"/>
                <w:sz w:val="24"/>
                <w:highlight w:val="none"/>
              </w:rPr>
              <w:t>城镇生活垃圾无害化处理率（%）</w:t>
            </w:r>
          </w:p>
        </w:tc>
        <w:tc>
          <w:tcPr>
            <w:tcW w:w="593" w:type="pct"/>
            <w:noWrap w:val="0"/>
            <w:vAlign w:val="center"/>
          </w:tcPr>
          <w:p w14:paraId="32C32145">
            <w:pPr>
              <w:spacing w:line="0" w:lineRule="atLeast"/>
              <w:jc w:val="center"/>
              <w:rPr>
                <w:rFonts w:ascii="Times New Roman" w:hAnsi="Times New Roman" w:eastAsia="仿宋_GB2312"/>
                <w:spacing w:val="-3"/>
                <w:sz w:val="24"/>
                <w:highlight w:val="none"/>
              </w:rPr>
            </w:pPr>
            <w:r>
              <w:rPr>
                <w:rFonts w:ascii="Times New Roman" w:hAnsi="Times New Roman" w:eastAsia="仿宋_GB2312"/>
                <w:kern w:val="0"/>
                <w:sz w:val="24"/>
                <w:highlight w:val="none"/>
                <w:lang w:bidi="ar"/>
              </w:rPr>
              <w:t>约束性</w:t>
            </w:r>
          </w:p>
        </w:tc>
        <w:tc>
          <w:tcPr>
            <w:tcW w:w="650" w:type="pct"/>
            <w:noWrap w:val="0"/>
            <w:vAlign w:val="center"/>
          </w:tcPr>
          <w:p w14:paraId="64905CEE">
            <w:pPr>
              <w:spacing w:line="0" w:lineRule="atLeast"/>
              <w:jc w:val="center"/>
              <w:rPr>
                <w:rFonts w:hint="default" w:ascii="Times New Roman" w:hAnsi="Times New Roman" w:eastAsia="仿宋_GB2312" w:cs="Times New Roman"/>
                <w:spacing w:val="-2"/>
                <w:sz w:val="24"/>
                <w:highlight w:val="none"/>
                <w:lang w:val="en-US" w:eastAsia="zh-CN"/>
              </w:rPr>
            </w:pPr>
            <w:r>
              <w:rPr>
                <w:rFonts w:hint="eastAsia" w:ascii="Times New Roman" w:hAnsi="Times New Roman" w:eastAsia="仿宋_GB2312" w:cs="Times New Roman"/>
                <w:kern w:val="2"/>
                <w:sz w:val="24"/>
                <w:szCs w:val="24"/>
                <w:highlight w:val="none"/>
                <w:lang w:val="en-US" w:eastAsia="zh-CN" w:bidi="ar-SA"/>
              </w:rPr>
              <w:t>100</w:t>
            </w:r>
          </w:p>
        </w:tc>
        <w:tc>
          <w:tcPr>
            <w:tcW w:w="849" w:type="pct"/>
            <w:noWrap w:val="0"/>
            <w:vAlign w:val="center"/>
          </w:tcPr>
          <w:p w14:paraId="681F5EF5">
            <w:pPr>
              <w:spacing w:line="0" w:lineRule="atLeast"/>
              <w:jc w:val="center"/>
              <w:rPr>
                <w:rFonts w:hint="eastAsia" w:ascii="Times New Roman" w:hAnsi="Times New Roman" w:eastAsia="仿宋_GB2312" w:cs="Times New Roman"/>
                <w:color w:val="auto"/>
                <w:spacing w:val="-2"/>
                <w:sz w:val="24"/>
                <w:highlight w:val="none"/>
                <w:lang w:val="en-US" w:eastAsia="zh-CN"/>
              </w:rPr>
            </w:pPr>
            <w:r>
              <w:rPr>
                <w:rFonts w:hint="eastAsia" w:ascii="Times New Roman" w:hAnsi="Times New Roman" w:eastAsia="仿宋_GB2312" w:cs="Times New Roman"/>
                <w:color w:val="auto"/>
                <w:spacing w:val="-2"/>
                <w:sz w:val="24"/>
                <w:highlight w:val="none"/>
                <w:lang w:val="en-US" w:eastAsia="zh-CN"/>
              </w:rPr>
              <w:t>100</w:t>
            </w:r>
          </w:p>
        </w:tc>
      </w:tr>
      <w:tr w14:paraId="1DA3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pct"/>
            <w:vMerge w:val="continue"/>
            <w:noWrap w:val="0"/>
            <w:vAlign w:val="center"/>
          </w:tcPr>
          <w:p w14:paraId="3A5E1B9C">
            <w:pPr>
              <w:spacing w:line="400" w:lineRule="exact"/>
              <w:jc w:val="center"/>
              <w:rPr>
                <w:rFonts w:ascii="Times New Roman" w:hAnsi="Times New Roman" w:eastAsia="仿宋_GB2312"/>
                <w:kern w:val="0"/>
                <w:sz w:val="24"/>
                <w:lang w:bidi="ar"/>
              </w:rPr>
            </w:pPr>
          </w:p>
        </w:tc>
        <w:tc>
          <w:tcPr>
            <w:tcW w:w="374" w:type="pct"/>
            <w:noWrap w:val="0"/>
            <w:vAlign w:val="center"/>
          </w:tcPr>
          <w:p w14:paraId="5EB7EF0F">
            <w:pPr>
              <w:spacing w:line="400" w:lineRule="exact"/>
              <w:jc w:val="center"/>
              <w:rPr>
                <w:rFonts w:hint="eastAsia"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9</w:t>
            </w:r>
          </w:p>
        </w:tc>
        <w:tc>
          <w:tcPr>
            <w:tcW w:w="2160" w:type="pct"/>
            <w:gridSpan w:val="2"/>
            <w:noWrap w:val="0"/>
            <w:vAlign w:val="center"/>
          </w:tcPr>
          <w:p w14:paraId="7E6B461D">
            <w:pPr>
              <w:spacing w:line="0" w:lineRule="atLeast"/>
              <w:rPr>
                <w:rFonts w:ascii="Times New Roman" w:hAnsi="Times New Roman" w:eastAsia="仿宋_GB2312" w:cs="Times New Roman"/>
                <w:spacing w:val="-3"/>
                <w:kern w:val="2"/>
                <w:sz w:val="24"/>
                <w:szCs w:val="24"/>
                <w:highlight w:val="none"/>
                <w:lang w:val="en-US" w:eastAsia="zh-CN" w:bidi="ar-SA"/>
              </w:rPr>
            </w:pPr>
            <w:r>
              <w:rPr>
                <w:rFonts w:ascii="Times New Roman" w:hAnsi="Times New Roman" w:eastAsia="仿宋_GB2312"/>
                <w:color w:val="auto"/>
                <w:sz w:val="24"/>
                <w:highlight w:val="none"/>
              </w:rPr>
              <w:t>农村生活污水治理率（%）</w:t>
            </w:r>
          </w:p>
        </w:tc>
        <w:tc>
          <w:tcPr>
            <w:tcW w:w="593" w:type="pct"/>
            <w:noWrap w:val="0"/>
            <w:vAlign w:val="center"/>
          </w:tcPr>
          <w:p w14:paraId="165F5B0D">
            <w:pPr>
              <w:spacing w:line="0" w:lineRule="atLeast"/>
              <w:jc w:val="center"/>
              <w:rPr>
                <w:rFonts w:ascii="Times New Roman" w:hAnsi="Times New Roman" w:eastAsia="仿宋_GB2312" w:cs="Times New Roman"/>
                <w:spacing w:val="-3"/>
                <w:kern w:val="2"/>
                <w:sz w:val="24"/>
                <w:szCs w:val="24"/>
                <w:highlight w:val="none"/>
                <w:lang w:val="en-US" w:eastAsia="zh-CN" w:bidi="ar-SA"/>
              </w:rPr>
            </w:pPr>
            <w:r>
              <w:rPr>
                <w:rFonts w:hint="eastAsia" w:ascii="Times New Roman" w:hAnsi="Times New Roman" w:eastAsia="仿宋_GB2312"/>
                <w:color w:val="auto"/>
                <w:spacing w:val="-3"/>
                <w:sz w:val="24"/>
                <w:highlight w:val="none"/>
                <w:lang w:val="en-US" w:eastAsia="zh-CN"/>
              </w:rPr>
              <w:t>预期性</w:t>
            </w:r>
          </w:p>
        </w:tc>
        <w:tc>
          <w:tcPr>
            <w:tcW w:w="650" w:type="pct"/>
            <w:noWrap w:val="0"/>
            <w:vAlign w:val="center"/>
          </w:tcPr>
          <w:p w14:paraId="2CCFF9EB">
            <w:pPr>
              <w:spacing w:line="0" w:lineRule="atLeast"/>
              <w:jc w:val="center"/>
              <w:rPr>
                <w:rFonts w:hint="default" w:ascii="Times New Roman" w:hAnsi="Times New Roman" w:eastAsia="仿宋_GB2312" w:cs="Times New Roman"/>
                <w:spacing w:val="-2"/>
                <w:sz w:val="24"/>
                <w:highlight w:val="none"/>
                <w:lang w:val="en-US" w:eastAsia="zh-CN"/>
              </w:rPr>
            </w:pPr>
            <w:r>
              <w:rPr>
                <w:rFonts w:hint="eastAsia" w:ascii="Times New Roman" w:hAnsi="Times New Roman" w:eastAsia="仿宋_GB2312" w:cs="Times New Roman"/>
                <w:kern w:val="2"/>
                <w:sz w:val="24"/>
                <w:szCs w:val="24"/>
                <w:highlight w:val="none"/>
                <w:lang w:val="en-US" w:eastAsia="zh-CN" w:bidi="ar-SA"/>
              </w:rPr>
              <w:t>44.1</w:t>
            </w:r>
          </w:p>
        </w:tc>
        <w:tc>
          <w:tcPr>
            <w:tcW w:w="849" w:type="pct"/>
            <w:noWrap w:val="0"/>
            <w:vAlign w:val="center"/>
          </w:tcPr>
          <w:p w14:paraId="2972D838">
            <w:pPr>
              <w:spacing w:line="0" w:lineRule="atLeast"/>
              <w:jc w:val="center"/>
              <w:rPr>
                <w:rFonts w:hint="default" w:ascii="Times New Roman" w:hAnsi="Times New Roman" w:eastAsia="仿宋_GB2312" w:cs="Times New Roman"/>
                <w:color w:val="auto"/>
                <w:spacing w:val="-2"/>
                <w:sz w:val="24"/>
                <w:highlight w:val="none"/>
                <w:lang w:val="en-US" w:eastAsia="zh-CN"/>
              </w:rPr>
            </w:pPr>
            <w:r>
              <w:rPr>
                <w:rFonts w:hint="eastAsia" w:ascii="Times New Roman" w:hAnsi="Times New Roman" w:eastAsia="仿宋_GB2312" w:cs="Times New Roman"/>
                <w:color w:val="auto"/>
                <w:spacing w:val="-2"/>
                <w:sz w:val="24"/>
                <w:highlight w:val="none"/>
                <w:lang w:val="en-US" w:eastAsia="zh-CN"/>
              </w:rPr>
              <w:t>90</w:t>
            </w:r>
          </w:p>
        </w:tc>
      </w:tr>
      <w:tr w14:paraId="604C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72" w:type="pct"/>
            <w:vMerge w:val="continue"/>
            <w:noWrap w:val="0"/>
            <w:vAlign w:val="center"/>
          </w:tcPr>
          <w:p w14:paraId="3340FAF1">
            <w:pPr>
              <w:spacing w:line="400" w:lineRule="exact"/>
              <w:jc w:val="center"/>
              <w:rPr>
                <w:rFonts w:ascii="Times New Roman" w:hAnsi="Times New Roman" w:eastAsia="仿宋_GB2312"/>
                <w:kern w:val="0"/>
                <w:sz w:val="24"/>
                <w:lang w:bidi="ar"/>
              </w:rPr>
            </w:pPr>
          </w:p>
        </w:tc>
        <w:tc>
          <w:tcPr>
            <w:tcW w:w="374" w:type="pct"/>
            <w:noWrap w:val="0"/>
            <w:vAlign w:val="center"/>
          </w:tcPr>
          <w:p w14:paraId="63023AFB">
            <w:pPr>
              <w:spacing w:line="400" w:lineRule="exact"/>
              <w:jc w:val="center"/>
              <w:rPr>
                <w:rFonts w:hint="default" w:ascii="Times New Roman" w:hAnsi="Times New Roman" w:eastAsia="仿宋_GB2312"/>
                <w:color w:val="auto"/>
                <w:kern w:val="0"/>
                <w:sz w:val="24"/>
                <w:highlight w:val="none"/>
                <w:lang w:val="en-US" w:eastAsia="zh-CN" w:bidi="ar"/>
              </w:rPr>
            </w:pPr>
            <w:r>
              <w:rPr>
                <w:rFonts w:hint="eastAsia" w:ascii="Times New Roman" w:hAnsi="Times New Roman" w:eastAsia="仿宋_GB2312"/>
                <w:color w:val="auto"/>
                <w:kern w:val="0"/>
                <w:sz w:val="24"/>
                <w:highlight w:val="none"/>
                <w:lang w:val="en-US" w:eastAsia="zh-CN" w:bidi="ar"/>
              </w:rPr>
              <w:t>10</w:t>
            </w:r>
          </w:p>
        </w:tc>
        <w:tc>
          <w:tcPr>
            <w:tcW w:w="2160" w:type="pct"/>
            <w:gridSpan w:val="2"/>
            <w:noWrap w:val="0"/>
            <w:vAlign w:val="center"/>
          </w:tcPr>
          <w:p w14:paraId="1BA6B90D">
            <w:pPr>
              <w:spacing w:line="0" w:lineRule="atLeast"/>
              <w:rPr>
                <w:rFonts w:ascii="Times New Roman" w:hAnsi="Times New Roman" w:eastAsia="仿宋_GB2312" w:cs="Times New Roman"/>
                <w:color w:val="auto"/>
                <w:spacing w:val="-3"/>
                <w:kern w:val="2"/>
                <w:sz w:val="24"/>
                <w:szCs w:val="24"/>
                <w:highlight w:val="none"/>
                <w:lang w:val="en-US" w:eastAsia="zh-CN" w:bidi="ar-SA"/>
              </w:rPr>
            </w:pPr>
            <w:r>
              <w:rPr>
                <w:rFonts w:ascii="Times New Roman" w:hAnsi="Times New Roman" w:eastAsia="仿宋_GB2312"/>
                <w:color w:val="auto"/>
                <w:spacing w:val="0"/>
                <w:sz w:val="24"/>
                <w:highlight w:val="none"/>
              </w:rPr>
              <w:t>声环境功能区夜间达标率（%）</w:t>
            </w:r>
          </w:p>
        </w:tc>
        <w:tc>
          <w:tcPr>
            <w:tcW w:w="593" w:type="pct"/>
            <w:noWrap w:val="0"/>
            <w:vAlign w:val="center"/>
          </w:tcPr>
          <w:p w14:paraId="3F75CAE7">
            <w:pPr>
              <w:spacing w:line="0" w:lineRule="atLeast"/>
              <w:jc w:val="center"/>
              <w:rPr>
                <w:rFonts w:ascii="Times New Roman" w:hAnsi="Times New Roman" w:eastAsia="仿宋_GB2312" w:cs="Times New Roman"/>
                <w:color w:val="auto"/>
                <w:spacing w:val="-3"/>
                <w:kern w:val="2"/>
                <w:sz w:val="24"/>
                <w:szCs w:val="24"/>
                <w:highlight w:val="none"/>
                <w:lang w:val="en-US" w:eastAsia="zh-CN" w:bidi="ar-SA"/>
              </w:rPr>
            </w:pPr>
            <w:r>
              <w:rPr>
                <w:rFonts w:ascii="Times New Roman" w:hAnsi="Times New Roman" w:eastAsia="仿宋_GB2312"/>
                <w:color w:val="auto"/>
                <w:spacing w:val="-3"/>
                <w:sz w:val="24"/>
                <w:highlight w:val="none"/>
              </w:rPr>
              <w:t>约束性</w:t>
            </w:r>
          </w:p>
        </w:tc>
        <w:tc>
          <w:tcPr>
            <w:tcW w:w="650" w:type="pct"/>
            <w:noWrap w:val="0"/>
            <w:vAlign w:val="center"/>
          </w:tcPr>
          <w:p w14:paraId="5584009A">
            <w:pPr>
              <w:spacing w:line="0" w:lineRule="atLeast"/>
              <w:jc w:val="center"/>
              <w:rPr>
                <w:rFonts w:hint="eastAsia" w:ascii="Times New Roman" w:hAnsi="Times New Roman" w:eastAsia="仿宋_GB2312" w:cs="Times New Roman"/>
                <w:color w:val="auto"/>
                <w:spacing w:val="-2"/>
                <w:sz w:val="24"/>
                <w:highlight w:val="none"/>
                <w:lang w:val="en-US" w:eastAsia="zh-CN"/>
              </w:rPr>
            </w:pPr>
            <w:r>
              <w:rPr>
                <w:rFonts w:hint="eastAsia" w:ascii="Times New Roman" w:hAnsi="Times New Roman" w:eastAsia="仿宋_GB2312"/>
                <w:color w:val="auto"/>
                <w:kern w:val="0"/>
                <w:sz w:val="24"/>
                <w:highlight w:val="none"/>
                <w:lang w:val="en-US" w:eastAsia="zh-CN" w:bidi="ar"/>
              </w:rPr>
              <w:t>—</w:t>
            </w:r>
          </w:p>
        </w:tc>
        <w:tc>
          <w:tcPr>
            <w:tcW w:w="849" w:type="pct"/>
            <w:noWrap w:val="0"/>
            <w:vAlign w:val="center"/>
          </w:tcPr>
          <w:p w14:paraId="144AFEDB">
            <w:pPr>
              <w:spacing w:line="0" w:lineRule="atLeast"/>
              <w:jc w:val="center"/>
              <w:rPr>
                <w:rFonts w:hint="eastAsia" w:ascii="Times New Roman" w:hAnsi="Times New Roman" w:eastAsia="仿宋_GB2312" w:cs="Times New Roman"/>
                <w:color w:val="auto"/>
                <w:spacing w:val="-2"/>
                <w:sz w:val="24"/>
                <w:highlight w:val="none"/>
                <w:lang w:val="en-US" w:eastAsia="zh-CN"/>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r>
      <w:tr w14:paraId="0558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72" w:type="pct"/>
            <w:vMerge w:val="restart"/>
            <w:noWrap w:val="0"/>
            <w:vAlign w:val="center"/>
          </w:tcPr>
          <w:p w14:paraId="6E073D57">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减污降碳协同</w:t>
            </w:r>
          </w:p>
        </w:tc>
        <w:tc>
          <w:tcPr>
            <w:tcW w:w="374" w:type="pct"/>
            <w:noWrap w:val="0"/>
            <w:vAlign w:val="center"/>
          </w:tcPr>
          <w:p w14:paraId="709DAE51">
            <w:pPr>
              <w:spacing w:line="400" w:lineRule="exact"/>
              <w:jc w:val="center"/>
              <w:rPr>
                <w:rFonts w:hint="default" w:ascii="Times New Roman" w:hAnsi="Times New Roman" w:eastAsia="仿宋_GB2312"/>
                <w:color w:val="auto"/>
                <w:kern w:val="0"/>
                <w:sz w:val="24"/>
                <w:lang w:val="en-US" w:eastAsia="zh-CN" w:bidi="ar"/>
              </w:rPr>
            </w:pPr>
            <w:r>
              <w:rPr>
                <w:rFonts w:hint="eastAsia" w:ascii="Times New Roman" w:hAnsi="Times New Roman" w:eastAsia="仿宋_GB2312"/>
                <w:color w:val="auto"/>
                <w:kern w:val="0"/>
                <w:sz w:val="24"/>
                <w:lang w:val="en-US" w:eastAsia="zh-CN" w:bidi="ar"/>
              </w:rPr>
              <w:t>11</w:t>
            </w:r>
          </w:p>
        </w:tc>
        <w:tc>
          <w:tcPr>
            <w:tcW w:w="2160" w:type="pct"/>
            <w:gridSpan w:val="2"/>
            <w:noWrap w:val="0"/>
            <w:vAlign w:val="center"/>
          </w:tcPr>
          <w:p w14:paraId="4DD3706B">
            <w:pPr>
              <w:spacing w:line="0" w:lineRule="atLeast"/>
              <w:rPr>
                <w:rFonts w:ascii="Times New Roman" w:hAnsi="Times New Roman" w:eastAsia="仿宋_GB2312" w:cs="Times New Roman"/>
                <w:color w:val="auto"/>
                <w:spacing w:val="0"/>
                <w:sz w:val="24"/>
                <w:highlight w:val="none"/>
              </w:rPr>
            </w:pPr>
            <w:r>
              <w:rPr>
                <w:rFonts w:hint="eastAsia" w:ascii="Times New Roman" w:hAnsi="Times New Roman" w:eastAsia="仿宋_GB2312" w:cs="Times New Roman"/>
                <w:color w:val="auto"/>
                <w:spacing w:val="0"/>
                <w:sz w:val="24"/>
                <w:highlight w:val="none"/>
              </w:rPr>
              <w:t>单位地区生产总值二氧化碳排放量降低（%）</w:t>
            </w:r>
          </w:p>
        </w:tc>
        <w:tc>
          <w:tcPr>
            <w:tcW w:w="593" w:type="pct"/>
            <w:noWrap w:val="0"/>
            <w:vAlign w:val="center"/>
          </w:tcPr>
          <w:p w14:paraId="384D3B14">
            <w:pPr>
              <w:spacing w:line="0" w:lineRule="atLeast"/>
              <w:jc w:val="center"/>
              <w:rPr>
                <w:rFonts w:ascii="Times New Roman" w:hAnsi="Times New Roman" w:eastAsia="仿宋_GB2312" w:cs="Times New Roman"/>
                <w:color w:val="auto"/>
                <w:spacing w:val="0"/>
                <w:sz w:val="24"/>
                <w:highlight w:val="none"/>
              </w:rPr>
            </w:pPr>
            <w:r>
              <w:rPr>
                <w:rFonts w:ascii="Times New Roman" w:hAnsi="Times New Roman" w:eastAsia="仿宋_GB2312"/>
                <w:color w:val="auto"/>
                <w:spacing w:val="-3"/>
                <w:sz w:val="24"/>
                <w:highlight w:val="none"/>
              </w:rPr>
              <w:t>约束性</w:t>
            </w:r>
          </w:p>
        </w:tc>
        <w:tc>
          <w:tcPr>
            <w:tcW w:w="650" w:type="pct"/>
            <w:noWrap w:val="0"/>
            <w:vAlign w:val="center"/>
          </w:tcPr>
          <w:p w14:paraId="307C8B3F">
            <w:pPr>
              <w:spacing w:line="0" w:lineRule="atLeast"/>
              <w:jc w:val="center"/>
              <w:rPr>
                <w:rFonts w:hint="default" w:ascii="Times New Roman" w:hAnsi="Times New Roman" w:eastAsia="仿宋_GB2312" w:cs="Times New Roman"/>
                <w:color w:val="auto"/>
                <w:spacing w:val="0"/>
                <w:kern w:val="2"/>
                <w:sz w:val="24"/>
                <w:szCs w:val="24"/>
                <w:highlight w:val="yellow"/>
                <w:lang w:val="en-US" w:eastAsia="zh-CN" w:bidi="ar-SA"/>
              </w:rPr>
            </w:pPr>
            <w:r>
              <w:rPr>
                <w:rFonts w:hint="eastAsia" w:ascii="Times New Roman" w:hAnsi="Times New Roman" w:eastAsia="仿宋_GB2312"/>
                <w:color w:val="auto"/>
                <w:kern w:val="0"/>
                <w:sz w:val="24"/>
                <w:highlight w:val="yellow"/>
                <w:lang w:val="en-US" w:eastAsia="zh-CN" w:bidi="ar"/>
              </w:rPr>
              <w:t>xx</w:t>
            </w:r>
          </w:p>
        </w:tc>
        <w:tc>
          <w:tcPr>
            <w:tcW w:w="849" w:type="pct"/>
            <w:noWrap w:val="0"/>
            <w:vAlign w:val="center"/>
          </w:tcPr>
          <w:p w14:paraId="49564739">
            <w:pPr>
              <w:spacing w:line="0" w:lineRule="atLeast"/>
              <w:jc w:val="center"/>
              <w:rPr>
                <w:rFonts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sz w:val="24"/>
                <w:highlight w:val="none"/>
                <w:lang w:val="en-US" w:eastAsia="zh-CN"/>
              </w:rPr>
              <w:t>控制在昌都市核定范围内</w:t>
            </w:r>
          </w:p>
        </w:tc>
      </w:tr>
      <w:tr w14:paraId="279D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72" w:type="pct"/>
            <w:vMerge w:val="continue"/>
            <w:noWrap w:val="0"/>
            <w:vAlign w:val="center"/>
          </w:tcPr>
          <w:p w14:paraId="6741462B">
            <w:pPr>
              <w:spacing w:line="400" w:lineRule="exact"/>
              <w:jc w:val="center"/>
              <w:rPr>
                <w:rFonts w:hint="eastAsia" w:ascii="Times New Roman" w:hAnsi="Times New Roman" w:eastAsia="仿宋_GB2312"/>
                <w:kern w:val="0"/>
                <w:sz w:val="24"/>
                <w:lang w:val="en-US" w:eastAsia="zh-CN" w:bidi="ar"/>
              </w:rPr>
            </w:pPr>
          </w:p>
        </w:tc>
        <w:tc>
          <w:tcPr>
            <w:tcW w:w="374" w:type="pct"/>
            <w:noWrap w:val="0"/>
            <w:vAlign w:val="center"/>
          </w:tcPr>
          <w:p w14:paraId="41DC861E">
            <w:pPr>
              <w:spacing w:line="400" w:lineRule="exact"/>
              <w:jc w:val="center"/>
              <w:rPr>
                <w:rFonts w:hint="default" w:ascii="Times New Roman" w:hAnsi="Times New Roman" w:eastAsia="仿宋_GB2312" w:cs="Times New Roman"/>
                <w:color w:val="auto"/>
                <w:kern w:val="0"/>
                <w:sz w:val="24"/>
                <w:lang w:val="en-US" w:eastAsia="zh-CN" w:bidi="ar"/>
              </w:rPr>
            </w:pPr>
            <w:r>
              <w:rPr>
                <w:rFonts w:hint="eastAsia" w:ascii="Times New Roman" w:hAnsi="Times New Roman" w:eastAsia="仿宋_GB2312" w:cs="Times New Roman"/>
                <w:color w:val="auto"/>
                <w:kern w:val="0"/>
                <w:sz w:val="24"/>
                <w:lang w:val="en-US" w:eastAsia="zh-CN" w:bidi="ar"/>
              </w:rPr>
              <w:t>12</w:t>
            </w:r>
          </w:p>
        </w:tc>
        <w:tc>
          <w:tcPr>
            <w:tcW w:w="2160" w:type="pct"/>
            <w:gridSpan w:val="2"/>
            <w:noWrap w:val="0"/>
            <w:vAlign w:val="center"/>
          </w:tcPr>
          <w:p w14:paraId="0699A174">
            <w:pPr>
              <w:spacing w:line="400" w:lineRule="exact"/>
              <w:jc w:val="left"/>
              <w:rPr>
                <w:rFonts w:hint="eastAsia" w:ascii="Times New Roman" w:hAnsi="Times New Roman" w:eastAsia="仿宋_GB2312" w:cs="Times New Roman"/>
                <w:color w:val="auto"/>
                <w:kern w:val="0"/>
                <w:sz w:val="24"/>
                <w:highlight w:val="none"/>
                <w:lang w:val="en-US" w:eastAsia="zh-CN" w:bidi="ar"/>
              </w:rPr>
            </w:pPr>
            <w:r>
              <w:rPr>
                <w:rFonts w:hint="default" w:ascii="Times New Roman" w:hAnsi="Times New Roman" w:eastAsia="仿宋_GB2312" w:cs="Times New Roman"/>
                <w:color w:val="auto"/>
                <w:kern w:val="0"/>
                <w:sz w:val="24"/>
                <w:highlight w:val="none"/>
                <w:lang w:val="en-US" w:eastAsia="zh-CN" w:bidi="ar"/>
              </w:rPr>
              <w:t>非化石能源占能源消费总量比重（%）</w:t>
            </w:r>
          </w:p>
        </w:tc>
        <w:tc>
          <w:tcPr>
            <w:tcW w:w="593" w:type="pct"/>
            <w:noWrap w:val="0"/>
            <w:vAlign w:val="center"/>
          </w:tcPr>
          <w:p w14:paraId="3A30DB0B">
            <w:pPr>
              <w:spacing w:line="400" w:lineRule="exact"/>
              <w:jc w:val="center"/>
              <w:rPr>
                <w:rFonts w:hint="eastAsia" w:ascii="Times New Roman" w:hAnsi="Times New Roman" w:eastAsia="仿宋_GB2312" w:cs="Times New Roman"/>
                <w:color w:val="auto"/>
                <w:kern w:val="0"/>
                <w:sz w:val="24"/>
                <w:highlight w:val="none"/>
                <w:lang w:val="en-US" w:eastAsia="zh-CN" w:bidi="ar"/>
              </w:rPr>
            </w:pPr>
            <w:r>
              <w:rPr>
                <w:rFonts w:hint="default" w:ascii="Times New Roman" w:hAnsi="Times New Roman" w:eastAsia="仿宋_GB2312" w:cs="Times New Roman"/>
                <w:color w:val="auto"/>
                <w:kern w:val="0"/>
                <w:sz w:val="24"/>
                <w:highlight w:val="none"/>
                <w:lang w:val="en-US" w:eastAsia="zh-CN" w:bidi="ar"/>
              </w:rPr>
              <w:t>预期性</w:t>
            </w:r>
          </w:p>
        </w:tc>
        <w:tc>
          <w:tcPr>
            <w:tcW w:w="650" w:type="pct"/>
            <w:noWrap w:val="0"/>
            <w:vAlign w:val="center"/>
          </w:tcPr>
          <w:p w14:paraId="52709397">
            <w:pPr>
              <w:spacing w:line="400" w:lineRule="exact"/>
              <w:jc w:val="center"/>
              <w:rPr>
                <w:rFonts w:hint="default" w:ascii="Times New Roman" w:hAnsi="Times New Roman" w:eastAsia="仿宋_GB2312" w:cs="Times New Roman"/>
                <w:color w:val="auto"/>
                <w:kern w:val="0"/>
                <w:sz w:val="24"/>
                <w:highlight w:val="yellow"/>
                <w:lang w:val="en-US" w:eastAsia="zh-CN" w:bidi="ar"/>
              </w:rPr>
            </w:pPr>
            <w:r>
              <w:rPr>
                <w:rFonts w:hint="eastAsia" w:ascii="Times New Roman" w:hAnsi="Times New Roman" w:eastAsia="仿宋_GB2312"/>
                <w:color w:val="auto"/>
                <w:kern w:val="0"/>
                <w:sz w:val="24"/>
                <w:highlight w:val="yellow"/>
                <w:lang w:val="en-US" w:eastAsia="zh-CN" w:bidi="ar"/>
              </w:rPr>
              <w:t>xx</w:t>
            </w:r>
          </w:p>
        </w:tc>
        <w:tc>
          <w:tcPr>
            <w:tcW w:w="849" w:type="pct"/>
            <w:noWrap w:val="0"/>
            <w:vAlign w:val="center"/>
          </w:tcPr>
          <w:p w14:paraId="370CC362">
            <w:pPr>
              <w:spacing w:line="400" w:lineRule="exact"/>
              <w:jc w:val="center"/>
              <w:rPr>
                <w:rFonts w:hint="eastAsia" w:ascii="Times New Roman" w:hAnsi="Times New Roman" w:eastAsia="仿宋_GB2312" w:cs="Times New Roman"/>
                <w:color w:val="auto"/>
                <w:kern w:val="0"/>
                <w:sz w:val="24"/>
                <w:highlight w:val="none"/>
                <w:lang w:val="en-US" w:eastAsia="zh-CN" w:bidi="ar"/>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r>
      <w:tr w14:paraId="1AA6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72" w:type="pct"/>
            <w:vMerge w:val="continue"/>
            <w:noWrap w:val="0"/>
            <w:vAlign w:val="center"/>
          </w:tcPr>
          <w:p w14:paraId="3CA1D3C5">
            <w:pPr>
              <w:spacing w:line="400" w:lineRule="exact"/>
              <w:jc w:val="center"/>
              <w:rPr>
                <w:rFonts w:hint="default" w:ascii="Times New Roman" w:hAnsi="Times New Roman" w:eastAsia="仿宋_GB2312"/>
                <w:kern w:val="0"/>
                <w:sz w:val="24"/>
                <w:lang w:val="en-US" w:bidi="ar"/>
              </w:rPr>
            </w:pPr>
          </w:p>
        </w:tc>
        <w:tc>
          <w:tcPr>
            <w:tcW w:w="374" w:type="pct"/>
            <w:vMerge w:val="restart"/>
            <w:noWrap w:val="0"/>
            <w:vAlign w:val="center"/>
          </w:tcPr>
          <w:p w14:paraId="2A68A566">
            <w:pPr>
              <w:spacing w:line="400" w:lineRule="exact"/>
              <w:jc w:val="center"/>
              <w:rPr>
                <w:rFonts w:hint="default" w:ascii="Times New Roman" w:hAnsi="Times New Roman" w:eastAsia="仿宋_GB2312"/>
                <w:kern w:val="0"/>
                <w:sz w:val="24"/>
                <w:highlight w:val="none"/>
                <w:lang w:val="en-US" w:eastAsia="zh-CN" w:bidi="ar"/>
              </w:rPr>
            </w:pPr>
            <w:r>
              <w:rPr>
                <w:rFonts w:hint="eastAsia" w:ascii="Times New Roman" w:hAnsi="Times New Roman" w:eastAsia="仿宋_GB2312"/>
                <w:kern w:val="0"/>
                <w:sz w:val="24"/>
                <w:highlight w:val="none"/>
                <w:lang w:val="en-US" w:eastAsia="zh-CN" w:bidi="ar"/>
              </w:rPr>
              <w:t>13</w:t>
            </w:r>
          </w:p>
        </w:tc>
        <w:tc>
          <w:tcPr>
            <w:tcW w:w="678" w:type="pct"/>
            <w:vMerge w:val="restart"/>
            <w:noWrap w:val="0"/>
            <w:vAlign w:val="center"/>
          </w:tcPr>
          <w:p w14:paraId="500E26DC">
            <w:pPr>
              <w:spacing w:line="400" w:lineRule="exact"/>
              <w:rPr>
                <w:rFonts w:hint="default" w:ascii="Times New Roman" w:hAnsi="Times New Roman" w:eastAsia="仿宋_GB2312"/>
                <w:kern w:val="0"/>
                <w:sz w:val="24"/>
                <w:highlight w:val="none"/>
                <w:lang w:val="en-US" w:eastAsia="zh-CN" w:bidi="ar"/>
              </w:rPr>
            </w:pPr>
            <w:r>
              <w:rPr>
                <w:rFonts w:hint="eastAsia" w:ascii="Times New Roman" w:hAnsi="Times New Roman" w:eastAsia="仿宋_GB2312"/>
                <w:kern w:val="0"/>
                <w:sz w:val="24"/>
                <w:highlight w:val="none"/>
                <w:lang w:val="en-US" w:eastAsia="zh-CN" w:bidi="ar"/>
              </w:rPr>
              <w:t>主要污染物排放总量减少</w:t>
            </w:r>
          </w:p>
        </w:tc>
        <w:tc>
          <w:tcPr>
            <w:tcW w:w="1482" w:type="pct"/>
            <w:noWrap w:val="0"/>
            <w:vAlign w:val="center"/>
          </w:tcPr>
          <w:p w14:paraId="2AD4E799">
            <w:pPr>
              <w:spacing w:line="400" w:lineRule="exact"/>
              <w:rPr>
                <w:rFonts w:hint="eastAsia" w:ascii="Times New Roman" w:hAnsi="Times New Roman" w:eastAsia="仿宋_GB2312"/>
                <w:kern w:val="0"/>
                <w:sz w:val="24"/>
                <w:highlight w:val="none"/>
                <w:lang w:bidi="ar"/>
              </w:rPr>
            </w:pPr>
            <w:r>
              <w:rPr>
                <w:rFonts w:hint="eastAsia" w:ascii="Times New Roman" w:hAnsi="Times New Roman" w:eastAsia="仿宋_GB2312"/>
                <w:kern w:val="0"/>
                <w:sz w:val="24"/>
                <w:highlight w:val="none"/>
                <w:lang w:bidi="ar"/>
              </w:rPr>
              <w:t>氮氧化物、挥发性有机物排放总量分别减少（%）</w:t>
            </w:r>
          </w:p>
        </w:tc>
        <w:tc>
          <w:tcPr>
            <w:tcW w:w="593" w:type="pct"/>
            <w:noWrap w:val="0"/>
            <w:vAlign w:val="center"/>
          </w:tcPr>
          <w:p w14:paraId="30AA43C5">
            <w:pPr>
              <w:spacing w:line="400" w:lineRule="exact"/>
              <w:jc w:val="center"/>
              <w:rPr>
                <w:rFonts w:ascii="Times New Roman" w:hAnsi="Times New Roman" w:eastAsia="仿宋_GB2312"/>
                <w:kern w:val="0"/>
                <w:sz w:val="24"/>
                <w:highlight w:val="none"/>
                <w:lang w:bidi="ar"/>
              </w:rPr>
            </w:pPr>
            <w:r>
              <w:rPr>
                <w:rFonts w:hint="eastAsia" w:ascii="Times New Roman" w:hAnsi="Times New Roman" w:eastAsia="仿宋_GB2312"/>
                <w:kern w:val="0"/>
                <w:sz w:val="24"/>
                <w:highlight w:val="none"/>
                <w:lang w:bidi="ar"/>
              </w:rPr>
              <w:t>约束性</w:t>
            </w:r>
          </w:p>
        </w:tc>
        <w:tc>
          <w:tcPr>
            <w:tcW w:w="650" w:type="pct"/>
            <w:noWrap w:val="0"/>
            <w:vAlign w:val="center"/>
          </w:tcPr>
          <w:p w14:paraId="3B5EB7E6">
            <w:pPr>
              <w:spacing w:line="0" w:lineRule="atLeast"/>
              <w:jc w:val="center"/>
              <w:rPr>
                <w:rFonts w:hint="default" w:ascii="Times New Roman" w:hAnsi="Times New Roman" w:eastAsia="仿宋_GB2312"/>
                <w:kern w:val="0"/>
                <w:sz w:val="24"/>
                <w:highlight w:val="none"/>
                <w:lang w:val="en-US" w:eastAsia="zh-CN" w:bidi="ar"/>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c>
          <w:tcPr>
            <w:tcW w:w="849" w:type="pct"/>
            <w:noWrap w:val="0"/>
            <w:vAlign w:val="center"/>
          </w:tcPr>
          <w:p w14:paraId="0A5CD3EA">
            <w:pPr>
              <w:spacing w:line="0" w:lineRule="atLeast"/>
              <w:jc w:val="center"/>
              <w:rPr>
                <w:rFonts w:hint="eastAsia" w:ascii="Times New Roman" w:hAnsi="Times New Roman" w:eastAsia="仿宋_GB2312"/>
                <w:kern w:val="0"/>
                <w:sz w:val="24"/>
                <w:highlight w:val="none"/>
                <w:lang w:val="en-US" w:eastAsia="zh-CN" w:bidi="ar"/>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r>
      <w:tr w14:paraId="6FAF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72" w:type="pct"/>
            <w:vMerge w:val="continue"/>
            <w:noWrap w:val="0"/>
            <w:vAlign w:val="center"/>
          </w:tcPr>
          <w:p w14:paraId="03A0D33B">
            <w:pPr>
              <w:spacing w:line="400" w:lineRule="exact"/>
              <w:jc w:val="center"/>
              <w:rPr>
                <w:rFonts w:hint="default" w:ascii="Times New Roman" w:hAnsi="Times New Roman" w:eastAsia="仿宋_GB2312"/>
                <w:kern w:val="0"/>
                <w:sz w:val="24"/>
                <w:lang w:val="en-US" w:bidi="ar"/>
              </w:rPr>
            </w:pPr>
          </w:p>
        </w:tc>
        <w:tc>
          <w:tcPr>
            <w:tcW w:w="374" w:type="pct"/>
            <w:vMerge w:val="continue"/>
            <w:noWrap w:val="0"/>
            <w:vAlign w:val="center"/>
          </w:tcPr>
          <w:p w14:paraId="4B6C195D">
            <w:pPr>
              <w:spacing w:line="400" w:lineRule="exact"/>
              <w:jc w:val="center"/>
              <w:rPr>
                <w:rFonts w:hint="default" w:ascii="Times New Roman" w:hAnsi="Times New Roman" w:eastAsia="仿宋_GB2312"/>
                <w:kern w:val="0"/>
                <w:sz w:val="24"/>
                <w:highlight w:val="none"/>
                <w:lang w:val="en-US" w:eastAsia="zh-CN" w:bidi="ar"/>
              </w:rPr>
            </w:pPr>
          </w:p>
        </w:tc>
        <w:tc>
          <w:tcPr>
            <w:tcW w:w="678" w:type="pct"/>
            <w:vMerge w:val="continue"/>
            <w:noWrap w:val="0"/>
            <w:vAlign w:val="center"/>
          </w:tcPr>
          <w:p w14:paraId="2C82E1DF">
            <w:pPr>
              <w:spacing w:line="400" w:lineRule="exact"/>
              <w:rPr>
                <w:rFonts w:ascii="Times New Roman" w:hAnsi="Times New Roman" w:eastAsia="仿宋_GB2312"/>
                <w:kern w:val="0"/>
                <w:sz w:val="24"/>
                <w:highlight w:val="none"/>
                <w:lang w:bidi="ar"/>
              </w:rPr>
            </w:pPr>
          </w:p>
        </w:tc>
        <w:tc>
          <w:tcPr>
            <w:tcW w:w="1482" w:type="pct"/>
            <w:noWrap w:val="0"/>
            <w:vAlign w:val="center"/>
          </w:tcPr>
          <w:p w14:paraId="575CDA00">
            <w:pPr>
              <w:spacing w:line="400" w:lineRule="exact"/>
              <w:rPr>
                <w:rFonts w:hint="eastAsia" w:ascii="Times New Roman" w:hAnsi="Times New Roman" w:eastAsia="仿宋_GB2312"/>
                <w:kern w:val="0"/>
                <w:sz w:val="24"/>
                <w:highlight w:val="none"/>
                <w:lang w:bidi="ar"/>
              </w:rPr>
            </w:pPr>
            <w:r>
              <w:rPr>
                <w:rFonts w:hint="eastAsia" w:ascii="Times New Roman" w:hAnsi="Times New Roman" w:eastAsia="仿宋_GB2312"/>
                <w:kern w:val="0"/>
                <w:sz w:val="24"/>
                <w:highlight w:val="none"/>
                <w:lang w:bidi="ar"/>
              </w:rPr>
              <w:t>化学需氧量、总磷排放总量分别减少（%）</w:t>
            </w:r>
          </w:p>
        </w:tc>
        <w:tc>
          <w:tcPr>
            <w:tcW w:w="593" w:type="pct"/>
            <w:noWrap w:val="0"/>
            <w:vAlign w:val="center"/>
          </w:tcPr>
          <w:p w14:paraId="1E250A3E">
            <w:pPr>
              <w:spacing w:line="400" w:lineRule="exact"/>
              <w:jc w:val="center"/>
              <w:rPr>
                <w:rFonts w:ascii="Times New Roman" w:hAnsi="Times New Roman" w:eastAsia="仿宋_GB2312"/>
                <w:kern w:val="0"/>
                <w:sz w:val="24"/>
                <w:highlight w:val="none"/>
                <w:lang w:bidi="ar"/>
              </w:rPr>
            </w:pPr>
            <w:r>
              <w:rPr>
                <w:rFonts w:hint="eastAsia" w:ascii="Times New Roman" w:hAnsi="Times New Roman" w:eastAsia="仿宋_GB2312"/>
                <w:kern w:val="0"/>
                <w:sz w:val="24"/>
                <w:highlight w:val="none"/>
                <w:lang w:bidi="ar"/>
              </w:rPr>
              <w:t>约束性</w:t>
            </w:r>
          </w:p>
        </w:tc>
        <w:tc>
          <w:tcPr>
            <w:tcW w:w="650" w:type="pct"/>
            <w:noWrap w:val="0"/>
            <w:vAlign w:val="center"/>
          </w:tcPr>
          <w:p w14:paraId="78B2FC6E">
            <w:pPr>
              <w:spacing w:line="0" w:lineRule="atLeast"/>
              <w:jc w:val="center"/>
              <w:rPr>
                <w:rFonts w:hint="eastAsia" w:ascii="Times New Roman" w:hAnsi="Times New Roman" w:eastAsia="仿宋_GB2312"/>
                <w:kern w:val="0"/>
                <w:sz w:val="24"/>
                <w:highlight w:val="none"/>
                <w:lang w:bidi="ar"/>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c>
          <w:tcPr>
            <w:tcW w:w="849" w:type="pct"/>
            <w:noWrap w:val="0"/>
            <w:vAlign w:val="center"/>
          </w:tcPr>
          <w:p w14:paraId="5B7177E3">
            <w:pPr>
              <w:spacing w:line="0" w:lineRule="atLeast"/>
              <w:jc w:val="center"/>
              <w:rPr>
                <w:rFonts w:hint="eastAsia" w:ascii="Times New Roman" w:hAnsi="Times New Roman" w:eastAsia="仿宋_GB2312"/>
                <w:kern w:val="0"/>
                <w:sz w:val="24"/>
                <w:highlight w:val="none"/>
                <w:lang w:bidi="ar"/>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r>
      <w:tr w14:paraId="376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72" w:type="pct"/>
            <w:vMerge w:val="restart"/>
            <w:noWrap w:val="0"/>
            <w:vAlign w:val="center"/>
          </w:tcPr>
          <w:p w14:paraId="350283A5">
            <w:pPr>
              <w:spacing w:line="400" w:lineRule="exact"/>
              <w:jc w:val="center"/>
              <w:rPr>
                <w:rFonts w:ascii="Times New Roman" w:hAnsi="Times New Roman" w:eastAsia="仿宋_GB2312"/>
                <w:kern w:val="0"/>
                <w:sz w:val="24"/>
                <w:lang w:bidi="ar"/>
              </w:rPr>
            </w:pPr>
            <w:r>
              <w:rPr>
                <w:rFonts w:ascii="Times New Roman" w:hAnsi="Times New Roman" w:eastAsia="仿宋_GB2312"/>
                <w:kern w:val="0"/>
                <w:sz w:val="24"/>
                <w:lang w:bidi="ar"/>
              </w:rPr>
              <w:t>生态系统保护</w:t>
            </w:r>
          </w:p>
        </w:tc>
        <w:tc>
          <w:tcPr>
            <w:tcW w:w="374" w:type="pct"/>
            <w:noWrap w:val="0"/>
            <w:vAlign w:val="center"/>
          </w:tcPr>
          <w:p w14:paraId="6CA54B80">
            <w:pPr>
              <w:spacing w:line="400" w:lineRule="exact"/>
              <w:jc w:val="center"/>
              <w:rPr>
                <w:rFonts w:hint="default" w:ascii="Times New Roman" w:hAnsi="Times New Roman" w:eastAsia="仿宋_GB2312"/>
                <w:kern w:val="0"/>
                <w:sz w:val="24"/>
                <w:szCs w:val="24"/>
                <w:lang w:val="en-US" w:eastAsia="zh-CN" w:bidi="ar"/>
              </w:rPr>
            </w:pPr>
            <w:r>
              <w:rPr>
                <w:rFonts w:hint="eastAsia" w:ascii="Times New Roman" w:hAnsi="Times New Roman" w:eastAsia="仿宋_GB2312"/>
                <w:kern w:val="0"/>
                <w:sz w:val="24"/>
                <w:lang w:val="en-US" w:eastAsia="zh-CN" w:bidi="ar"/>
              </w:rPr>
              <w:t>14</w:t>
            </w:r>
          </w:p>
        </w:tc>
        <w:tc>
          <w:tcPr>
            <w:tcW w:w="2160" w:type="pct"/>
            <w:gridSpan w:val="2"/>
            <w:noWrap w:val="0"/>
            <w:vAlign w:val="center"/>
          </w:tcPr>
          <w:p w14:paraId="513AF8B0">
            <w:pPr>
              <w:spacing w:line="400" w:lineRule="exact"/>
              <w:rPr>
                <w:rFonts w:ascii="Times New Roman" w:hAnsi="Times New Roman" w:eastAsia="仿宋_GB2312" w:cs="Times New Roman"/>
                <w:kern w:val="0"/>
                <w:sz w:val="24"/>
                <w:szCs w:val="24"/>
                <w:highlight w:val="none"/>
                <w:lang w:val="en-US" w:eastAsia="zh-CN" w:bidi="ar"/>
              </w:rPr>
            </w:pPr>
            <w:r>
              <w:rPr>
                <w:rFonts w:ascii="Times New Roman" w:hAnsi="Times New Roman" w:eastAsia="仿宋_GB2312"/>
                <w:color w:val="auto"/>
                <w:kern w:val="0"/>
                <w:sz w:val="24"/>
                <w:highlight w:val="none"/>
                <w:lang w:bidi="ar"/>
              </w:rPr>
              <w:t>森林覆盖率（%）</w:t>
            </w:r>
          </w:p>
        </w:tc>
        <w:tc>
          <w:tcPr>
            <w:tcW w:w="593" w:type="pct"/>
            <w:noWrap w:val="0"/>
            <w:vAlign w:val="center"/>
          </w:tcPr>
          <w:p w14:paraId="07F299FE">
            <w:pPr>
              <w:spacing w:line="400" w:lineRule="exact"/>
              <w:jc w:val="center"/>
              <w:rPr>
                <w:rFonts w:ascii="Times New Roman" w:hAnsi="Times New Roman" w:eastAsia="仿宋_GB2312" w:cs="Times New Roman"/>
                <w:kern w:val="0"/>
                <w:sz w:val="24"/>
                <w:szCs w:val="24"/>
                <w:highlight w:val="none"/>
                <w:lang w:val="en-US" w:eastAsia="zh-CN" w:bidi="ar"/>
              </w:rPr>
            </w:pPr>
            <w:r>
              <w:rPr>
                <w:rFonts w:ascii="Times New Roman" w:hAnsi="Times New Roman" w:eastAsia="仿宋_GB2312"/>
                <w:color w:val="auto"/>
                <w:kern w:val="0"/>
                <w:sz w:val="24"/>
                <w:highlight w:val="none"/>
                <w:lang w:bidi="ar"/>
              </w:rPr>
              <w:t>约束性</w:t>
            </w:r>
          </w:p>
        </w:tc>
        <w:tc>
          <w:tcPr>
            <w:tcW w:w="650" w:type="pct"/>
            <w:noWrap w:val="0"/>
            <w:vAlign w:val="center"/>
          </w:tcPr>
          <w:p w14:paraId="6B84E6E9">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val="en-US" w:eastAsia="zh-CN" w:bidi="ar"/>
              </w:rPr>
              <w:t>20.18</w:t>
            </w:r>
          </w:p>
        </w:tc>
        <w:tc>
          <w:tcPr>
            <w:tcW w:w="849" w:type="pct"/>
            <w:noWrap w:val="0"/>
            <w:vAlign w:val="center"/>
          </w:tcPr>
          <w:p w14:paraId="2535A54A">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val="en-US" w:eastAsia="zh-CN" w:bidi="ar"/>
              </w:rPr>
              <w:t>21</w:t>
            </w:r>
          </w:p>
        </w:tc>
      </w:tr>
      <w:tr w14:paraId="74CB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72" w:type="pct"/>
            <w:vMerge w:val="continue"/>
            <w:noWrap w:val="0"/>
            <w:vAlign w:val="center"/>
          </w:tcPr>
          <w:p w14:paraId="2BE0858E">
            <w:pPr>
              <w:spacing w:line="400" w:lineRule="exact"/>
              <w:jc w:val="center"/>
              <w:rPr>
                <w:rFonts w:ascii="Times New Roman" w:hAnsi="Times New Roman" w:eastAsia="仿宋_GB2312"/>
                <w:kern w:val="0"/>
                <w:sz w:val="24"/>
                <w:lang w:bidi="ar"/>
              </w:rPr>
            </w:pPr>
          </w:p>
        </w:tc>
        <w:tc>
          <w:tcPr>
            <w:tcW w:w="374" w:type="pct"/>
            <w:noWrap w:val="0"/>
            <w:vAlign w:val="center"/>
          </w:tcPr>
          <w:p w14:paraId="0ECF4111">
            <w:pPr>
              <w:spacing w:line="400" w:lineRule="exact"/>
              <w:jc w:val="center"/>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仿宋_GB2312"/>
                <w:kern w:val="0"/>
                <w:sz w:val="24"/>
                <w:lang w:val="en-US" w:eastAsia="zh-CN" w:bidi="ar"/>
              </w:rPr>
              <w:t>15</w:t>
            </w:r>
          </w:p>
        </w:tc>
        <w:tc>
          <w:tcPr>
            <w:tcW w:w="2160" w:type="pct"/>
            <w:gridSpan w:val="2"/>
            <w:noWrap w:val="0"/>
            <w:vAlign w:val="center"/>
          </w:tcPr>
          <w:p w14:paraId="69C9842E">
            <w:pPr>
              <w:spacing w:line="400" w:lineRule="exact"/>
              <w:rPr>
                <w:rFonts w:ascii="Times New Roman" w:hAnsi="Times New Roman" w:eastAsia="仿宋_GB2312" w:cs="Times New Roman"/>
                <w:color w:val="auto"/>
                <w:kern w:val="0"/>
                <w:sz w:val="24"/>
                <w:szCs w:val="24"/>
                <w:highlight w:val="none"/>
                <w:lang w:val="en-US" w:eastAsia="zh-CN" w:bidi="ar"/>
              </w:rPr>
            </w:pPr>
            <w:r>
              <w:rPr>
                <w:rFonts w:ascii="Times New Roman" w:hAnsi="Times New Roman" w:eastAsia="仿宋_GB2312"/>
                <w:color w:val="auto"/>
                <w:kern w:val="0"/>
                <w:sz w:val="24"/>
                <w:highlight w:val="none"/>
                <w:lang w:bidi="ar"/>
              </w:rPr>
              <w:t>草原综合植被盖度（%）</w:t>
            </w:r>
          </w:p>
        </w:tc>
        <w:tc>
          <w:tcPr>
            <w:tcW w:w="593" w:type="pct"/>
            <w:noWrap w:val="0"/>
            <w:vAlign w:val="center"/>
          </w:tcPr>
          <w:p w14:paraId="4172E7B0">
            <w:pPr>
              <w:spacing w:line="400" w:lineRule="exact"/>
              <w:jc w:val="center"/>
              <w:rPr>
                <w:rFonts w:ascii="Times New Roman" w:hAnsi="Times New Roman" w:eastAsia="仿宋_GB2312" w:cs="Times New Roman"/>
                <w:color w:val="auto"/>
                <w:kern w:val="0"/>
                <w:sz w:val="24"/>
                <w:szCs w:val="24"/>
                <w:highlight w:val="none"/>
                <w:lang w:val="en-US" w:eastAsia="zh-CN" w:bidi="ar"/>
              </w:rPr>
            </w:pPr>
            <w:r>
              <w:rPr>
                <w:rFonts w:ascii="Times New Roman" w:hAnsi="Times New Roman" w:eastAsia="仿宋_GB2312"/>
                <w:color w:val="auto"/>
                <w:kern w:val="0"/>
                <w:sz w:val="24"/>
                <w:highlight w:val="none"/>
                <w:lang w:bidi="ar"/>
              </w:rPr>
              <w:t>约束性</w:t>
            </w:r>
          </w:p>
        </w:tc>
        <w:tc>
          <w:tcPr>
            <w:tcW w:w="650" w:type="pct"/>
            <w:noWrap w:val="0"/>
            <w:vAlign w:val="center"/>
          </w:tcPr>
          <w:p w14:paraId="038FA8C6">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val="en-US" w:eastAsia="zh-CN" w:bidi="ar"/>
              </w:rPr>
              <w:t>71</w:t>
            </w:r>
          </w:p>
        </w:tc>
        <w:tc>
          <w:tcPr>
            <w:tcW w:w="849" w:type="pct"/>
            <w:noWrap w:val="0"/>
            <w:vAlign w:val="center"/>
          </w:tcPr>
          <w:p w14:paraId="28682B94">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bidi="ar"/>
              </w:rPr>
              <w:t>74.9</w:t>
            </w:r>
          </w:p>
        </w:tc>
      </w:tr>
      <w:tr w14:paraId="73A9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2" w:type="pct"/>
            <w:vMerge w:val="continue"/>
            <w:noWrap w:val="0"/>
            <w:vAlign w:val="center"/>
          </w:tcPr>
          <w:p w14:paraId="0BA499CD">
            <w:pPr>
              <w:spacing w:line="400" w:lineRule="exact"/>
              <w:jc w:val="center"/>
              <w:rPr>
                <w:rFonts w:ascii="Times New Roman" w:hAnsi="Times New Roman" w:eastAsia="仿宋_GB2312"/>
                <w:kern w:val="0"/>
                <w:sz w:val="24"/>
                <w:lang w:bidi="ar"/>
              </w:rPr>
            </w:pPr>
          </w:p>
        </w:tc>
        <w:tc>
          <w:tcPr>
            <w:tcW w:w="374" w:type="pct"/>
            <w:noWrap w:val="0"/>
            <w:vAlign w:val="center"/>
          </w:tcPr>
          <w:p w14:paraId="5184F7BD">
            <w:pPr>
              <w:spacing w:line="400" w:lineRule="exact"/>
              <w:jc w:val="center"/>
              <w:rPr>
                <w:rFonts w:hint="default" w:ascii="Times New Roman" w:hAnsi="Times New Roman" w:eastAsia="仿宋_GB2312" w:cs="Times New Roman"/>
                <w:kern w:val="0"/>
                <w:sz w:val="24"/>
                <w:szCs w:val="24"/>
                <w:highlight w:val="none"/>
                <w:lang w:val="en-US" w:eastAsia="zh-CN" w:bidi="ar"/>
              </w:rPr>
            </w:pPr>
            <w:r>
              <w:rPr>
                <w:rFonts w:hint="eastAsia" w:ascii="Times New Roman" w:hAnsi="Times New Roman" w:eastAsia="仿宋_GB2312"/>
                <w:kern w:val="0"/>
                <w:sz w:val="24"/>
                <w:szCs w:val="24"/>
                <w:highlight w:val="none"/>
                <w:lang w:val="en-US" w:eastAsia="zh-CN" w:bidi="ar"/>
              </w:rPr>
              <w:t>16</w:t>
            </w:r>
          </w:p>
        </w:tc>
        <w:tc>
          <w:tcPr>
            <w:tcW w:w="2160" w:type="pct"/>
            <w:gridSpan w:val="2"/>
            <w:noWrap w:val="0"/>
            <w:vAlign w:val="center"/>
          </w:tcPr>
          <w:p w14:paraId="3D4E345F">
            <w:pPr>
              <w:spacing w:line="400" w:lineRule="exact"/>
              <w:rPr>
                <w:rFonts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kern w:val="0"/>
                <w:sz w:val="24"/>
                <w:highlight w:val="none"/>
                <w:lang w:bidi="ar"/>
              </w:rPr>
              <w:t>生态保护红线面积占国土面积比例（%）</w:t>
            </w:r>
          </w:p>
        </w:tc>
        <w:tc>
          <w:tcPr>
            <w:tcW w:w="593" w:type="pct"/>
            <w:noWrap w:val="0"/>
            <w:vAlign w:val="center"/>
          </w:tcPr>
          <w:p w14:paraId="3E4AC29D">
            <w:pPr>
              <w:spacing w:line="400" w:lineRule="exact"/>
              <w:jc w:val="center"/>
              <w:rPr>
                <w:rFonts w:ascii="Times New Roman" w:hAnsi="Times New Roman" w:eastAsia="仿宋_GB2312" w:cs="Times New Roman"/>
                <w:color w:val="auto"/>
                <w:kern w:val="0"/>
                <w:sz w:val="24"/>
                <w:szCs w:val="24"/>
                <w:highlight w:val="none"/>
                <w:lang w:val="en-US" w:eastAsia="zh-CN" w:bidi="ar"/>
              </w:rPr>
            </w:pPr>
            <w:r>
              <w:rPr>
                <w:rFonts w:ascii="Times New Roman" w:hAnsi="Times New Roman" w:eastAsia="仿宋_GB2312"/>
                <w:kern w:val="0"/>
                <w:sz w:val="24"/>
                <w:highlight w:val="none"/>
                <w:lang w:bidi="ar"/>
              </w:rPr>
              <w:t>约束性</w:t>
            </w:r>
          </w:p>
        </w:tc>
        <w:tc>
          <w:tcPr>
            <w:tcW w:w="650" w:type="pct"/>
            <w:noWrap w:val="0"/>
            <w:vAlign w:val="center"/>
          </w:tcPr>
          <w:p w14:paraId="25B91D88">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val="en-US" w:eastAsia="zh-CN" w:bidi="ar"/>
              </w:rPr>
              <w:t>36.69</w:t>
            </w:r>
          </w:p>
        </w:tc>
        <w:tc>
          <w:tcPr>
            <w:tcW w:w="849" w:type="pct"/>
            <w:noWrap w:val="0"/>
            <w:vAlign w:val="center"/>
          </w:tcPr>
          <w:p w14:paraId="172AAB98">
            <w:pPr>
              <w:spacing w:line="400" w:lineRule="exact"/>
              <w:jc w:val="center"/>
              <w:rPr>
                <w:rFonts w:hint="default" w:ascii="Times New Roman" w:hAnsi="Times New Roman" w:eastAsia="仿宋_GB2312" w:cs="Times New Roman"/>
                <w:kern w:val="0"/>
                <w:sz w:val="24"/>
                <w:lang w:val="en-US" w:eastAsia="zh-CN" w:bidi="ar"/>
              </w:rPr>
            </w:pPr>
            <w:r>
              <w:rPr>
                <w:rFonts w:hint="eastAsia" w:ascii="Times New Roman" w:hAnsi="Times New Roman" w:eastAsia="仿宋_GB2312" w:cs="Times New Roman"/>
                <w:kern w:val="0"/>
                <w:sz w:val="24"/>
                <w:lang w:val="en-US" w:eastAsia="zh-CN" w:bidi="ar"/>
              </w:rPr>
              <w:t>保持稳定</w:t>
            </w:r>
          </w:p>
        </w:tc>
      </w:tr>
      <w:tr w14:paraId="1958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2" w:type="pct"/>
            <w:vMerge w:val="continue"/>
            <w:noWrap w:val="0"/>
            <w:vAlign w:val="center"/>
          </w:tcPr>
          <w:p w14:paraId="72BA5863">
            <w:pPr>
              <w:spacing w:line="400" w:lineRule="exact"/>
              <w:jc w:val="center"/>
              <w:rPr>
                <w:rFonts w:ascii="Times New Roman" w:hAnsi="Times New Roman" w:eastAsia="仿宋_GB2312"/>
                <w:kern w:val="0"/>
                <w:sz w:val="24"/>
                <w:lang w:bidi="ar"/>
              </w:rPr>
            </w:pPr>
          </w:p>
        </w:tc>
        <w:tc>
          <w:tcPr>
            <w:tcW w:w="374" w:type="pct"/>
            <w:noWrap w:val="0"/>
            <w:vAlign w:val="center"/>
          </w:tcPr>
          <w:p w14:paraId="19B6522D">
            <w:pPr>
              <w:spacing w:line="400" w:lineRule="exact"/>
              <w:jc w:val="center"/>
              <w:rPr>
                <w:rFonts w:hint="default" w:ascii="Times New Roman" w:hAnsi="Times New Roman" w:eastAsia="仿宋_GB2312"/>
                <w:kern w:val="0"/>
                <w:sz w:val="24"/>
                <w:szCs w:val="24"/>
                <w:highlight w:val="none"/>
                <w:lang w:val="en-US" w:eastAsia="zh-CN" w:bidi="ar"/>
              </w:rPr>
            </w:pPr>
            <w:r>
              <w:rPr>
                <w:rFonts w:hint="eastAsia" w:ascii="Times New Roman" w:hAnsi="Times New Roman" w:eastAsia="仿宋_GB2312"/>
                <w:kern w:val="0"/>
                <w:sz w:val="24"/>
                <w:szCs w:val="24"/>
                <w:highlight w:val="none"/>
                <w:lang w:val="en-US" w:eastAsia="zh-CN" w:bidi="ar"/>
              </w:rPr>
              <w:t>17</w:t>
            </w:r>
          </w:p>
        </w:tc>
        <w:tc>
          <w:tcPr>
            <w:tcW w:w="2160" w:type="pct"/>
            <w:gridSpan w:val="2"/>
            <w:noWrap w:val="0"/>
            <w:vAlign w:val="center"/>
          </w:tcPr>
          <w:p w14:paraId="0E05934E">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spacing w:val="0"/>
                <w:kern w:val="0"/>
                <w:sz w:val="24"/>
                <w:szCs w:val="24"/>
                <w:highlight w:val="none"/>
                <w:lang w:val="en-US" w:eastAsia="zh-CN" w:bidi="ar"/>
              </w:rPr>
            </w:pPr>
            <w:r>
              <w:rPr>
                <w:rFonts w:hint="eastAsia" w:ascii="Times New Roman" w:hAnsi="Times New Roman" w:eastAsia="仿宋_GB2312"/>
                <w:spacing w:val="0"/>
                <w:kern w:val="0"/>
                <w:sz w:val="24"/>
                <w:highlight w:val="none"/>
                <w:lang w:bidi="ar"/>
              </w:rPr>
              <w:t>生态质量指数（EQI）</w:t>
            </w:r>
          </w:p>
        </w:tc>
        <w:tc>
          <w:tcPr>
            <w:tcW w:w="593" w:type="pct"/>
            <w:noWrap w:val="0"/>
            <w:vAlign w:val="center"/>
          </w:tcPr>
          <w:p w14:paraId="705AB45C">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仿宋_GB2312" w:cs="Times New Roman"/>
                <w:spacing w:val="0"/>
                <w:kern w:val="0"/>
                <w:sz w:val="24"/>
                <w:szCs w:val="24"/>
                <w:highlight w:val="none"/>
                <w:lang w:val="en-US" w:eastAsia="zh-CN" w:bidi="ar"/>
              </w:rPr>
            </w:pPr>
            <w:r>
              <w:rPr>
                <w:rFonts w:ascii="Times New Roman" w:hAnsi="Times New Roman" w:eastAsia="仿宋_GB2312"/>
                <w:spacing w:val="0"/>
                <w:kern w:val="0"/>
                <w:sz w:val="24"/>
                <w:highlight w:val="none"/>
              </w:rPr>
              <w:t>预期性</w:t>
            </w:r>
          </w:p>
        </w:tc>
        <w:tc>
          <w:tcPr>
            <w:tcW w:w="650" w:type="pct"/>
            <w:noWrap w:val="0"/>
            <w:vAlign w:val="center"/>
          </w:tcPr>
          <w:p w14:paraId="54C86089">
            <w:pPr>
              <w:spacing w:line="400" w:lineRule="exact"/>
              <w:jc w:val="center"/>
              <w:rPr>
                <w:rFonts w:hint="default" w:ascii="Times New Roman" w:hAnsi="Times New Roman" w:eastAsia="仿宋_GB2312" w:cs="Times New Roman"/>
                <w:kern w:val="0"/>
                <w:sz w:val="24"/>
                <w:highlight w:val="none"/>
                <w:lang w:val="en-US" w:eastAsia="zh-CN" w:bidi="ar"/>
              </w:rPr>
            </w:pPr>
            <w:r>
              <w:rPr>
                <w:rFonts w:hint="eastAsia" w:ascii="Times New Roman" w:hAnsi="Times New Roman" w:eastAsia="仿宋_GB2312" w:cs="Times New Roman"/>
                <w:kern w:val="0"/>
                <w:sz w:val="24"/>
                <w:highlight w:val="none"/>
                <w:lang w:val="en-US" w:eastAsia="zh-CN" w:bidi="ar"/>
              </w:rPr>
              <w:t>暂未开展统计</w:t>
            </w:r>
          </w:p>
        </w:tc>
        <w:tc>
          <w:tcPr>
            <w:tcW w:w="849" w:type="pct"/>
            <w:noWrap w:val="0"/>
            <w:vAlign w:val="center"/>
          </w:tcPr>
          <w:p w14:paraId="05ABF7B9">
            <w:pPr>
              <w:spacing w:line="400" w:lineRule="exact"/>
              <w:jc w:val="center"/>
              <w:rPr>
                <w:rFonts w:hint="eastAsia" w:ascii="Times New Roman" w:hAnsi="Times New Roman" w:eastAsia="仿宋_GB2312" w:cs="Times New Roman"/>
                <w:kern w:val="0"/>
                <w:sz w:val="24"/>
                <w:lang w:val="en-US" w:eastAsia="zh-CN" w:bidi="ar"/>
              </w:rPr>
            </w:pPr>
            <w:r>
              <w:rPr>
                <w:rFonts w:hint="eastAsia" w:ascii="Times New Roman" w:hAnsi="Times New Roman" w:eastAsia="仿宋_GB2312" w:cs="Times New Roman"/>
                <w:kern w:val="0"/>
                <w:sz w:val="24"/>
                <w:lang w:val="en-US" w:eastAsia="zh-CN" w:bidi="ar"/>
              </w:rPr>
              <w:t>稳中向好</w:t>
            </w:r>
          </w:p>
        </w:tc>
      </w:tr>
      <w:tr w14:paraId="1829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72" w:type="pct"/>
            <w:vMerge w:val="restart"/>
            <w:noWrap w:val="0"/>
            <w:vAlign w:val="center"/>
          </w:tcPr>
          <w:p w14:paraId="52618763">
            <w:pPr>
              <w:spacing w:line="400" w:lineRule="exact"/>
              <w:jc w:val="center"/>
              <w:rPr>
                <w:rFonts w:hint="default" w:ascii="Times New Roman" w:hAnsi="Times New Roman" w:eastAsia="仿宋_GB2312"/>
                <w:kern w:val="0"/>
                <w:sz w:val="24"/>
                <w:highlight w:val="yellow"/>
                <w:lang w:val="en-US" w:eastAsia="zh-CN"/>
              </w:rPr>
            </w:pPr>
            <w:r>
              <w:rPr>
                <w:rFonts w:hint="eastAsia" w:ascii="Times New Roman" w:hAnsi="Times New Roman" w:eastAsia="仿宋_GB2312"/>
                <w:spacing w:val="-4"/>
                <w:sz w:val="24"/>
                <w:lang w:val="en-US" w:eastAsia="zh-CN"/>
              </w:rPr>
              <w:t>环境风险防控</w:t>
            </w:r>
          </w:p>
        </w:tc>
        <w:tc>
          <w:tcPr>
            <w:tcW w:w="374" w:type="pct"/>
            <w:noWrap w:val="0"/>
            <w:vAlign w:val="center"/>
          </w:tcPr>
          <w:p w14:paraId="69915C27">
            <w:pPr>
              <w:spacing w:line="400" w:lineRule="exact"/>
              <w:jc w:val="center"/>
              <w:rPr>
                <w:rFonts w:hint="default" w:ascii="Times New Roman" w:hAnsi="Times New Roman" w:eastAsia="仿宋_GB2312"/>
                <w:kern w:val="0"/>
                <w:sz w:val="24"/>
                <w:szCs w:val="24"/>
                <w:lang w:val="en-US" w:eastAsia="zh-CN" w:bidi="ar"/>
              </w:rPr>
            </w:pPr>
            <w:r>
              <w:rPr>
                <w:rFonts w:hint="eastAsia" w:ascii="Times New Roman" w:hAnsi="Times New Roman" w:eastAsia="仿宋_GB2312"/>
                <w:kern w:val="0"/>
                <w:sz w:val="24"/>
                <w:lang w:val="en-US" w:eastAsia="zh-CN" w:bidi="ar"/>
              </w:rPr>
              <w:t>18</w:t>
            </w:r>
          </w:p>
        </w:tc>
        <w:tc>
          <w:tcPr>
            <w:tcW w:w="2160" w:type="pct"/>
            <w:gridSpan w:val="2"/>
            <w:noWrap w:val="0"/>
            <w:vAlign w:val="center"/>
          </w:tcPr>
          <w:p w14:paraId="124A3D4E">
            <w:pPr>
              <w:spacing w:line="0" w:lineRule="atLeast"/>
              <w:rPr>
                <w:rFonts w:hint="default" w:ascii="Times New Roman" w:hAnsi="Times New Roman" w:eastAsia="仿宋_GB2312" w:cs="Times New Roman"/>
                <w:sz w:val="24"/>
                <w:lang w:val="en-US" w:eastAsia="zh-CN"/>
              </w:rPr>
            </w:pPr>
            <w:r>
              <w:rPr>
                <w:rFonts w:hint="eastAsia" w:ascii="Times New Roman" w:hAnsi="Times New Roman" w:eastAsia="仿宋_GB2312" w:cs="Times New Roman"/>
                <w:sz w:val="24"/>
              </w:rPr>
              <w:t>建设用地安全利用</w:t>
            </w:r>
          </w:p>
        </w:tc>
        <w:tc>
          <w:tcPr>
            <w:tcW w:w="593" w:type="pct"/>
            <w:noWrap w:val="0"/>
            <w:vAlign w:val="center"/>
          </w:tcPr>
          <w:p w14:paraId="1ABF4F28">
            <w:pPr>
              <w:spacing w:line="0" w:lineRule="atLeas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约束性</w:t>
            </w:r>
          </w:p>
        </w:tc>
        <w:tc>
          <w:tcPr>
            <w:tcW w:w="650" w:type="pct"/>
            <w:noWrap w:val="0"/>
            <w:vAlign w:val="center"/>
          </w:tcPr>
          <w:p w14:paraId="03B816A7">
            <w:pPr>
              <w:spacing w:line="0" w:lineRule="atLeast"/>
              <w:rPr>
                <w:rFonts w:hint="default"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有效保障</w:t>
            </w:r>
          </w:p>
        </w:tc>
        <w:tc>
          <w:tcPr>
            <w:tcW w:w="849" w:type="pct"/>
            <w:noWrap w:val="0"/>
            <w:vAlign w:val="center"/>
          </w:tcPr>
          <w:p w14:paraId="18E35E6B">
            <w:pPr>
              <w:spacing w:line="0" w:lineRule="atLeast"/>
              <w:jc w:val="center"/>
              <w:rPr>
                <w:rFonts w:hint="default"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有效保障</w:t>
            </w:r>
          </w:p>
        </w:tc>
      </w:tr>
      <w:tr w14:paraId="4687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72" w:type="pct"/>
            <w:vMerge w:val="continue"/>
            <w:noWrap w:val="0"/>
            <w:vAlign w:val="center"/>
          </w:tcPr>
          <w:p w14:paraId="210BECD5">
            <w:pPr>
              <w:spacing w:line="400" w:lineRule="exact"/>
              <w:jc w:val="center"/>
              <w:rPr>
                <w:rFonts w:ascii="Times New Roman" w:hAnsi="Times New Roman" w:eastAsia="仿宋_GB2312"/>
                <w:kern w:val="0"/>
                <w:sz w:val="24"/>
                <w:highlight w:val="yellow"/>
              </w:rPr>
            </w:pPr>
          </w:p>
        </w:tc>
        <w:tc>
          <w:tcPr>
            <w:tcW w:w="374" w:type="pct"/>
            <w:noWrap w:val="0"/>
            <w:vAlign w:val="center"/>
          </w:tcPr>
          <w:p w14:paraId="573DF7DE">
            <w:pPr>
              <w:spacing w:line="400" w:lineRule="exact"/>
              <w:jc w:val="center"/>
              <w:rPr>
                <w:rFonts w:hint="default" w:ascii="Times New Roman" w:hAnsi="Times New Roman" w:eastAsia="仿宋_GB2312"/>
                <w:kern w:val="0"/>
                <w:sz w:val="24"/>
                <w:szCs w:val="24"/>
                <w:lang w:val="en-US" w:eastAsia="zh-CN" w:bidi="ar"/>
              </w:rPr>
            </w:pPr>
            <w:r>
              <w:rPr>
                <w:rFonts w:hint="eastAsia" w:ascii="Times New Roman" w:hAnsi="Times New Roman" w:eastAsia="仿宋_GB2312"/>
                <w:kern w:val="0"/>
                <w:sz w:val="24"/>
                <w:lang w:val="en-US" w:eastAsia="zh-CN" w:bidi="ar"/>
              </w:rPr>
              <w:t>19</w:t>
            </w:r>
          </w:p>
        </w:tc>
        <w:tc>
          <w:tcPr>
            <w:tcW w:w="2160" w:type="pct"/>
            <w:gridSpan w:val="2"/>
            <w:noWrap w:val="0"/>
            <w:vAlign w:val="center"/>
          </w:tcPr>
          <w:p w14:paraId="39B2CB6F">
            <w:pPr>
              <w:spacing w:line="0" w:lineRule="atLeas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固体废物非法倾倒和非法处置情况</w:t>
            </w:r>
          </w:p>
        </w:tc>
        <w:tc>
          <w:tcPr>
            <w:tcW w:w="593" w:type="pct"/>
            <w:noWrap w:val="0"/>
            <w:vAlign w:val="center"/>
          </w:tcPr>
          <w:p w14:paraId="0D8B5D8F">
            <w:pPr>
              <w:spacing w:line="0" w:lineRule="atLeas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预期性</w:t>
            </w:r>
          </w:p>
        </w:tc>
        <w:tc>
          <w:tcPr>
            <w:tcW w:w="650" w:type="pct"/>
            <w:noWrap w:val="0"/>
            <w:vAlign w:val="center"/>
          </w:tcPr>
          <w:p w14:paraId="63D761EE">
            <w:pPr>
              <w:spacing w:line="0" w:lineRule="atLeas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w:t>
            </w:r>
          </w:p>
        </w:tc>
        <w:tc>
          <w:tcPr>
            <w:tcW w:w="849" w:type="pct"/>
            <w:noWrap w:val="0"/>
            <w:vAlign w:val="center"/>
          </w:tcPr>
          <w:p w14:paraId="758F8C09">
            <w:pPr>
              <w:spacing w:line="0" w:lineRule="atLeast"/>
              <w:jc w:val="center"/>
              <w:rPr>
                <w:rFonts w:hint="default" w:ascii="Times New Roman" w:hAnsi="Times New Roman" w:eastAsia="仿宋_GB2312" w:cs="Times New Roman"/>
                <w:sz w:val="24"/>
                <w:lang w:val="en-US" w:eastAsia="zh-CN"/>
              </w:rPr>
            </w:pPr>
            <w:r>
              <w:rPr>
                <w:rFonts w:hint="eastAsia" w:ascii="Times New Roman" w:hAnsi="Times New Roman" w:eastAsia="仿宋_GB2312"/>
                <w:spacing w:val="0"/>
                <w:kern w:val="0"/>
                <w:sz w:val="24"/>
                <w:lang w:val="en-US" w:eastAsia="zh-CN"/>
              </w:rPr>
              <w:t>大幅减少</w:t>
            </w:r>
          </w:p>
        </w:tc>
      </w:tr>
      <w:tr w14:paraId="14AF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72" w:type="pct"/>
            <w:vMerge w:val="continue"/>
            <w:shd w:val="clear" w:color="auto" w:fill="auto"/>
            <w:noWrap w:val="0"/>
            <w:vAlign w:val="center"/>
          </w:tcPr>
          <w:p w14:paraId="124B4939">
            <w:pPr>
              <w:spacing w:line="400" w:lineRule="exact"/>
              <w:jc w:val="center"/>
              <w:rPr>
                <w:rFonts w:ascii="Times New Roman" w:hAnsi="Times New Roman" w:eastAsia="仿宋_GB2312"/>
                <w:kern w:val="0"/>
                <w:sz w:val="24"/>
                <w:highlight w:val="yellow"/>
              </w:rPr>
            </w:pPr>
          </w:p>
        </w:tc>
        <w:tc>
          <w:tcPr>
            <w:tcW w:w="374" w:type="pct"/>
            <w:shd w:val="clear" w:color="auto" w:fill="auto"/>
            <w:noWrap w:val="0"/>
            <w:vAlign w:val="center"/>
          </w:tcPr>
          <w:p w14:paraId="08C2E186">
            <w:pPr>
              <w:spacing w:line="400" w:lineRule="exact"/>
              <w:jc w:val="center"/>
              <w:rPr>
                <w:rFonts w:hint="default" w:ascii="Times New Roman" w:hAnsi="Times New Roman" w:eastAsia="仿宋_GB2312"/>
                <w:kern w:val="0"/>
                <w:sz w:val="24"/>
                <w:lang w:val="en-US" w:eastAsia="zh-CN" w:bidi="ar"/>
              </w:rPr>
            </w:pPr>
            <w:r>
              <w:rPr>
                <w:rFonts w:hint="eastAsia" w:ascii="Times New Roman" w:hAnsi="Times New Roman" w:eastAsia="仿宋_GB2312"/>
                <w:kern w:val="0"/>
                <w:sz w:val="24"/>
                <w:lang w:val="en-US" w:eastAsia="zh-CN" w:bidi="ar"/>
              </w:rPr>
              <w:t>20</w:t>
            </w:r>
          </w:p>
        </w:tc>
        <w:tc>
          <w:tcPr>
            <w:tcW w:w="2160" w:type="pct"/>
            <w:gridSpan w:val="2"/>
            <w:shd w:val="clear" w:color="auto" w:fill="FFFFFF"/>
            <w:noWrap w:val="0"/>
            <w:vAlign w:val="center"/>
          </w:tcPr>
          <w:p w14:paraId="0ADEC6B5">
            <w:pPr>
              <w:spacing w:line="0" w:lineRule="atLeas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辐射安全与辐射环境指数（%</w:t>
            </w:r>
            <w:r>
              <w:rPr>
                <w:rFonts w:hint="default" w:ascii="Times New Roman" w:hAnsi="Times New Roman" w:eastAsia="仿宋_GB2312" w:cs="Times New Roman"/>
                <w:sz w:val="24"/>
              </w:rPr>
              <w:t>）</w:t>
            </w:r>
          </w:p>
        </w:tc>
        <w:tc>
          <w:tcPr>
            <w:tcW w:w="593" w:type="pct"/>
            <w:shd w:val="clear" w:color="auto" w:fill="FFFFFF"/>
            <w:noWrap w:val="0"/>
            <w:vAlign w:val="center"/>
          </w:tcPr>
          <w:p w14:paraId="36478D28">
            <w:pPr>
              <w:spacing w:line="0" w:lineRule="atLeas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预期性</w:t>
            </w:r>
          </w:p>
        </w:tc>
        <w:tc>
          <w:tcPr>
            <w:tcW w:w="650" w:type="pct"/>
            <w:shd w:val="clear" w:color="auto" w:fill="FFFFFF"/>
            <w:noWrap w:val="0"/>
            <w:vAlign w:val="center"/>
          </w:tcPr>
          <w:p w14:paraId="31CBDED6">
            <w:pPr>
              <w:spacing w:line="0" w:lineRule="atLeas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w:t>
            </w:r>
          </w:p>
        </w:tc>
        <w:tc>
          <w:tcPr>
            <w:tcW w:w="849" w:type="pct"/>
            <w:shd w:val="clear" w:color="auto" w:fill="FFFFFF"/>
            <w:noWrap w:val="0"/>
            <w:vAlign w:val="center"/>
          </w:tcPr>
          <w:p w14:paraId="3EBF1BBD">
            <w:pPr>
              <w:spacing w:line="0" w:lineRule="atLeast"/>
              <w:jc w:val="center"/>
              <w:rPr>
                <w:rFonts w:hint="default" w:ascii="Times New Roman" w:hAnsi="Times New Roman" w:eastAsia="仿宋_GB2312" w:cs="Times New Roman"/>
                <w:sz w:val="24"/>
                <w:lang w:val="en-US" w:eastAsia="zh-CN"/>
              </w:rPr>
            </w:pPr>
            <w:r>
              <w:rPr>
                <w:rFonts w:ascii="Times New Roman" w:hAnsi="Times New Roman" w:eastAsia="仿宋_GB2312"/>
                <w:color w:val="auto"/>
                <w:spacing w:val="0"/>
                <w:kern w:val="0"/>
                <w:sz w:val="24"/>
                <w:highlight w:val="none"/>
                <w:lang w:bidi="ar"/>
              </w:rPr>
              <w:t>完成</w:t>
            </w:r>
            <w:r>
              <w:rPr>
                <w:rFonts w:hint="eastAsia" w:ascii="Times New Roman" w:hAnsi="Times New Roman" w:eastAsia="仿宋_GB2312"/>
                <w:color w:val="auto"/>
                <w:spacing w:val="0"/>
                <w:kern w:val="0"/>
                <w:sz w:val="24"/>
                <w:highlight w:val="none"/>
                <w:lang w:val="en-US" w:eastAsia="zh-CN" w:bidi="ar"/>
              </w:rPr>
              <w:t>昌都市</w:t>
            </w:r>
            <w:r>
              <w:rPr>
                <w:rFonts w:ascii="Times New Roman" w:hAnsi="Times New Roman" w:eastAsia="仿宋_GB2312"/>
                <w:color w:val="auto"/>
                <w:spacing w:val="0"/>
                <w:kern w:val="0"/>
                <w:sz w:val="24"/>
                <w:highlight w:val="none"/>
                <w:lang w:bidi="ar"/>
              </w:rPr>
              <w:t>目标考核</w:t>
            </w:r>
          </w:p>
        </w:tc>
      </w:tr>
    </w:tbl>
    <w:p w14:paraId="1E94595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outlineLvl w:val="9"/>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备注：（1）丁青县“十五五”生态环境保护重点指标将与昌都市“十五五”生态环境保护重点指标衔接。（2）“优良水体比例”为“十五五”国家新增考核指标，是在水质类别基础上叠加水生态指标，综合确定水生态环境达到“优秀”和“良好”状况的比例。（3）“达到或好于Ⅲ类水质比例”指地表水质达到或好于Ⅲ类水体的比例。（4）“生态质量指数（EQI）”指标名称和定义按照国家最新要求动态调整。</w:t>
      </w:r>
    </w:p>
    <w:p w14:paraId="2CB8D5D3">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22" w:name="_Toc11835"/>
      <w:bookmarkStart w:id="23" w:name="_Toc18672"/>
      <w:r>
        <w:rPr>
          <w:rFonts w:hint="eastAsia" w:ascii="方正小标宋简体" w:hAnsi="方正小标宋简体" w:eastAsia="方正小标宋简体" w:cs="方正小标宋简体"/>
          <w:sz w:val="32"/>
          <w:szCs w:val="32"/>
          <w:lang w:val="en-US" w:eastAsia="zh-CN"/>
        </w:rPr>
        <w:t xml:space="preserve"> </w:t>
      </w:r>
      <w:bookmarkEnd w:id="22"/>
      <w:bookmarkEnd w:id="23"/>
      <w:bookmarkStart w:id="24" w:name="_Toc17473"/>
      <w:r>
        <w:rPr>
          <w:rFonts w:hint="eastAsia" w:ascii="方正小标宋简体" w:hAnsi="方正小标宋简体" w:eastAsia="方正小标宋简体" w:cs="方正小标宋简体"/>
          <w:sz w:val="32"/>
          <w:szCs w:val="32"/>
          <w:lang w:val="en-US" w:eastAsia="zh-CN"/>
        </w:rPr>
        <w:t>筑牢藏东生态安全屏障</w:t>
      </w:r>
      <w:bookmarkEnd w:id="24"/>
    </w:p>
    <w:p w14:paraId="4EBCD558">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highlight w:val="none"/>
          <w:lang w:val="en-US" w:eastAsia="zh-CN"/>
        </w:rPr>
      </w:pPr>
      <w:bookmarkStart w:id="25" w:name="_Toc6834"/>
      <w:r>
        <w:rPr>
          <w:rFonts w:hint="eastAsia" w:ascii="Times New Roman" w:hAnsi="Times New Roman" w:eastAsia="仿宋_GB2312" w:cs="仿宋_GB2312"/>
          <w:spacing w:val="-6"/>
          <w:sz w:val="32"/>
          <w:szCs w:val="32"/>
          <w:highlight w:val="none"/>
          <w:lang w:val="en-US" w:eastAsia="zh-CN"/>
        </w:rPr>
        <w:t>牢固树立和践行“绿水青山就是金山银山，冰天雪地也是金山银山”理念，强化国家重点生态功能区保护，提升生态系统稳定性和生态供给服务功能，</w:t>
      </w:r>
      <w:r>
        <w:rPr>
          <w:rFonts w:hint="eastAsia" w:ascii="Times New Roman" w:hAnsi="Times New Roman" w:eastAsia="仿宋_GB2312" w:cs="仿宋_GB2312"/>
          <w:spacing w:val="-6"/>
          <w:sz w:val="32"/>
          <w:szCs w:val="32"/>
          <w:highlight w:val="none"/>
          <w:lang w:val="en"/>
        </w:rPr>
        <w:t>纵深推进国家生态文明高地建设行动，</w:t>
      </w:r>
      <w:r>
        <w:rPr>
          <w:rFonts w:hint="eastAsia" w:ascii="Times New Roman" w:hAnsi="Times New Roman" w:eastAsia="仿宋_GB2312" w:cs="仿宋_GB2312"/>
          <w:spacing w:val="-6"/>
          <w:sz w:val="32"/>
          <w:szCs w:val="32"/>
          <w:highlight w:val="none"/>
          <w:lang w:val="en-US" w:eastAsia="zh-CN"/>
        </w:rPr>
        <w:t>持续推动国家生态文明建设示范区创建成效巩固，全力推进美丽丁青建设，全力筑牢藏东生态安全屏障。</w:t>
      </w:r>
    </w:p>
    <w:p w14:paraId="4E1E28BB">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26" w:name="_Toc19111"/>
      <w:bookmarkStart w:id="27" w:name="_Toc8521"/>
      <w:r>
        <w:rPr>
          <w:rFonts w:hint="eastAsia" w:ascii="黑体" w:hAnsi="黑体" w:eastAsia="黑体" w:cs="黑体"/>
          <w:b w:val="0"/>
          <w:bCs w:val="0"/>
          <w:color w:val="auto"/>
          <w:sz w:val="32"/>
          <w:szCs w:val="32"/>
          <w:highlight w:val="none"/>
          <w:lang w:val="en-US" w:eastAsia="zh-CN" w:bidi="ar-SA"/>
        </w:rPr>
        <w:t>一、加强重要生态功能区保护</w:t>
      </w:r>
      <w:bookmarkEnd w:id="25"/>
      <w:bookmarkEnd w:id="26"/>
      <w:bookmarkEnd w:id="27"/>
    </w:p>
    <w:p w14:paraId="284E1B4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28" w:name="_Toc30438"/>
      <w:r>
        <w:rPr>
          <w:rFonts w:hint="eastAsia" w:ascii="楷体" w:hAnsi="楷体" w:eastAsia="楷体" w:cs="楷体"/>
          <w:sz w:val="32"/>
          <w:szCs w:val="32"/>
          <w:lang w:val="en-US" w:eastAsia="zh-CN"/>
        </w:rPr>
        <w:t>（一）强化</w:t>
      </w:r>
      <w:r>
        <w:rPr>
          <w:rFonts w:hint="eastAsia" w:ascii="楷体" w:hAnsi="楷体" w:eastAsia="楷体" w:cs="楷体"/>
          <w:sz w:val="32"/>
          <w:szCs w:val="32"/>
          <w:highlight w:val="none"/>
          <w:lang w:val="en-US" w:eastAsia="zh-CN"/>
        </w:rPr>
        <w:t>国家重点生态功能区管控</w:t>
      </w:r>
      <w:bookmarkEnd w:id="28"/>
    </w:p>
    <w:p w14:paraId="3E7F9DC7">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严守国家重点生态功能区保护管控要求，严格执行国家重点生态功能区县域生态质量年度考核制度，统筹生态环境、林草、自然资源、农业农村等监测数据、项目台账、资金凭证、工程验收资料等，依托国家重点生态功能区县域生态环境质量数据填报系统完成年度指标填报、数据汇总、自查上报等工作，以考核指标体系为导向规范全域生态功能区管护工作。</w:t>
      </w:r>
    </w:p>
    <w:p w14:paraId="77718FE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29" w:name="_Toc672"/>
      <w:r>
        <w:rPr>
          <w:rFonts w:hint="eastAsia" w:ascii="楷体" w:hAnsi="楷体" w:eastAsia="楷体" w:cs="楷体"/>
          <w:sz w:val="32"/>
          <w:szCs w:val="32"/>
          <w:lang w:val="en-US" w:eastAsia="zh-CN"/>
        </w:rPr>
        <w:t>（二）全力筑牢生态安全格局</w:t>
      </w:r>
      <w:bookmarkEnd w:id="29"/>
    </w:p>
    <w:p w14:paraId="015E1394">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highlight w:val="none"/>
        </w:rPr>
        <w:t>依托他念他翁山脉山体骨架、怒江上游干支流水系脉络，以布托湖国家湿地公园、布加雪山冰川等自然公园为补充，筑牢“两廊、两区、两点”生态保护空间格局。聚焦高寒山地、河谷平坝、高原湿地、冰川草甸差异化生态单元，</w:t>
      </w:r>
      <w:r>
        <w:rPr>
          <w:rFonts w:hint="eastAsia" w:ascii="Times New Roman" w:hAnsi="Times New Roman" w:eastAsia="仿宋_GB2312" w:cs="仿宋_GB2312"/>
          <w:spacing w:val="-6"/>
          <w:sz w:val="32"/>
          <w:szCs w:val="32"/>
          <w:lang w:val="en-US" w:eastAsia="zh-CN"/>
        </w:rPr>
        <w:t>强化全域绿色生态空间刚性管控，严格落实生态保护红线、环境质量底线、资源利用上线硬约束，健全生态空间管控长效机制，严防各类生态破坏行为。</w:t>
      </w:r>
      <w:r>
        <w:rPr>
          <w:rFonts w:hint="eastAsia" w:ascii="Times New Roman" w:hAnsi="Times New Roman" w:eastAsia="仿宋_GB2312" w:cs="仿宋_GB2312"/>
          <w:spacing w:val="-6"/>
          <w:sz w:val="32"/>
          <w:szCs w:val="32"/>
        </w:rPr>
        <w:t>因地制宜推进生态提质</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highlight w:val="none"/>
        </w:rPr>
        <w:t>切实保护生物多样性，提高森林覆盖率，增加森林蓄积量，提高草原综合植被盖度，确保主要江河湖库水功能区水质良好，</w:t>
      </w:r>
      <w:r>
        <w:rPr>
          <w:rFonts w:hint="eastAsia" w:ascii="Times New Roman" w:hAnsi="Times New Roman" w:eastAsia="仿宋_GB2312" w:cs="仿宋_GB2312"/>
          <w:spacing w:val="-6"/>
          <w:sz w:val="32"/>
          <w:szCs w:val="32"/>
        </w:rPr>
        <w:t>促进全域生态系统稳定性不断增强、生态系统服务质量持续改善</w:t>
      </w:r>
      <w:r>
        <w:rPr>
          <w:rFonts w:hint="eastAsia" w:ascii="Times New Roman" w:hAnsi="Times New Roman" w:eastAsia="仿宋_GB2312" w:cs="仿宋_GB2312"/>
          <w:spacing w:val="-6"/>
          <w:sz w:val="32"/>
          <w:szCs w:val="32"/>
          <w:lang w:eastAsia="zh-CN"/>
        </w:rPr>
        <w:t>。</w:t>
      </w:r>
    </w:p>
    <w:p w14:paraId="42EEE3C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30" w:name="_Toc431"/>
      <w:r>
        <w:rPr>
          <w:rFonts w:hint="eastAsia" w:ascii="楷体" w:hAnsi="楷体" w:eastAsia="楷体" w:cs="楷体"/>
          <w:sz w:val="32"/>
          <w:szCs w:val="32"/>
          <w:lang w:val="en-US" w:eastAsia="zh-CN"/>
        </w:rPr>
        <w:t>（三）强化自然保护地监管</w:t>
      </w:r>
      <w:bookmarkEnd w:id="30"/>
    </w:p>
    <w:p w14:paraId="0578BE77">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rPr>
        <w:t>完善自然保护地管理体制</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lang w:val="en-US" w:eastAsia="zh-CN"/>
        </w:rPr>
        <w:t>以西藏丁青布托湖国家级湿地公园为重点，完善自然保护地基础设施和监测体系。</w:t>
      </w:r>
      <w:r>
        <w:rPr>
          <w:rFonts w:hint="eastAsia" w:ascii="Times New Roman" w:hAnsi="Times New Roman" w:eastAsia="仿宋_GB2312" w:cs="仿宋_GB2312"/>
          <w:spacing w:val="-6"/>
          <w:sz w:val="32"/>
          <w:szCs w:val="32"/>
        </w:rPr>
        <w:t>健全多部门协同联动机制</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lang w:val="en-US" w:eastAsia="zh-CN"/>
        </w:rPr>
        <w:t>对各级各类自然保护地开展拉网式排查，重点排查违法违规建设、人类活动干扰、生态破坏、环境污染等突出问题，结合“绿盾”自然保护地强化监督专项行动，建立问题清单、责任清单，实行销号管理。配合昌都市推进第五次生态状况变化调查评估，开展生态保护红线保护成效五年评估。加强科研平台、教学实习基地及生态科普教育与体验基地等基础设施建设，统筹推进自然保护地规范化管理。严格落实自然保护地监督管理机制，利用现代技术手段，强化自然保护地日常巡护，加强自然保护地生态环境和人为活动常态化遥感监测。</w:t>
      </w:r>
    </w:p>
    <w:p w14:paraId="760778C4">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31" w:name="_Toc7762"/>
      <w:bookmarkStart w:id="32" w:name="_Toc15098"/>
      <w:bookmarkStart w:id="33" w:name="_Toc1534"/>
      <w:r>
        <w:rPr>
          <w:rFonts w:hint="eastAsia" w:ascii="黑体" w:hAnsi="黑体" w:eastAsia="黑体" w:cs="黑体"/>
          <w:b w:val="0"/>
          <w:bCs w:val="0"/>
          <w:color w:val="auto"/>
          <w:sz w:val="32"/>
          <w:szCs w:val="32"/>
          <w:highlight w:val="none"/>
          <w:lang w:val="en-US" w:eastAsia="zh-CN" w:bidi="ar-SA"/>
        </w:rPr>
        <w:t>二、强化生态系统保护修复</w:t>
      </w:r>
      <w:bookmarkEnd w:id="31"/>
      <w:bookmarkEnd w:id="32"/>
      <w:bookmarkEnd w:id="33"/>
    </w:p>
    <w:p w14:paraId="0E6EFE60">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34" w:name="_Toc31758"/>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val="en" w:eastAsia="zh-CN"/>
        </w:rPr>
        <w:t>）加强</w:t>
      </w:r>
      <w:r>
        <w:rPr>
          <w:rFonts w:hint="eastAsia" w:ascii="楷体" w:hAnsi="楷体" w:eastAsia="楷体" w:cs="楷体"/>
          <w:sz w:val="32"/>
          <w:szCs w:val="32"/>
          <w:lang w:val="en-US" w:eastAsia="zh-CN"/>
        </w:rPr>
        <w:t>林业</w:t>
      </w:r>
      <w:r>
        <w:rPr>
          <w:rFonts w:hint="eastAsia" w:ascii="楷体" w:hAnsi="楷体" w:eastAsia="楷体" w:cs="楷体"/>
          <w:sz w:val="32"/>
          <w:szCs w:val="32"/>
          <w:lang w:val="en" w:eastAsia="zh-CN"/>
        </w:rPr>
        <w:t>生态系</w:t>
      </w:r>
      <w:r>
        <w:rPr>
          <w:rFonts w:hint="eastAsia" w:ascii="楷体" w:hAnsi="楷体" w:eastAsia="楷体" w:cs="楷体"/>
          <w:sz w:val="32"/>
          <w:szCs w:val="32"/>
          <w:lang w:val="en-US" w:eastAsia="zh-CN"/>
        </w:rPr>
        <w:t>统保护修复</w:t>
      </w:r>
      <w:bookmarkEnd w:id="34"/>
    </w:p>
    <w:p w14:paraId="5E084D08">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6"/>
          <w:sz w:val="32"/>
          <w:szCs w:val="32"/>
          <w:lang w:val="en" w:eastAsia="zh-CN"/>
        </w:rPr>
        <w:t>全面落实林长制，</w:t>
      </w:r>
      <w:r>
        <w:rPr>
          <w:rFonts w:hint="eastAsia" w:ascii="Times New Roman" w:hAnsi="Times New Roman" w:eastAsia="仿宋_GB2312" w:cs="仿宋_GB2312"/>
          <w:spacing w:val="0"/>
          <w:sz w:val="32"/>
          <w:szCs w:val="32"/>
          <w:lang w:val="en" w:eastAsia="zh-CN"/>
        </w:rPr>
        <w:t>大力推进国土绿化行动，深化营造林、森林抚育等重点林业工作。</w:t>
      </w:r>
      <w:r>
        <w:rPr>
          <w:rFonts w:hint="eastAsia" w:ascii="Times New Roman" w:hAnsi="Times New Roman" w:eastAsia="仿宋_GB2312" w:cs="仿宋_GB2312"/>
          <w:spacing w:val="-6"/>
          <w:sz w:val="32"/>
          <w:szCs w:val="32"/>
          <w:lang w:val="en" w:eastAsia="zh-CN"/>
        </w:rPr>
        <w:t>全面保护天然林，继续落实全面停止天然林商业性采伐，强化针对天然林的幼林抚育和培育健康稳定优质高效的天然林。聚焦县城</w:t>
      </w:r>
      <w:r>
        <w:rPr>
          <w:rFonts w:hint="eastAsia" w:ascii="Times New Roman" w:hAnsi="Times New Roman" w:eastAsia="仿宋_GB2312" w:cs="仿宋_GB2312"/>
          <w:spacing w:val="-6"/>
          <w:sz w:val="32"/>
          <w:szCs w:val="32"/>
          <w:lang w:val="en-US" w:eastAsia="zh-CN"/>
        </w:rPr>
        <w:t>周边山体</w:t>
      </w:r>
      <w:r>
        <w:rPr>
          <w:rFonts w:hint="eastAsia" w:ascii="Times New Roman" w:hAnsi="Times New Roman" w:eastAsia="仿宋_GB2312" w:cs="仿宋_GB2312"/>
          <w:spacing w:val="-6"/>
          <w:sz w:val="32"/>
          <w:szCs w:val="32"/>
          <w:lang w:val="en" w:eastAsia="zh-CN"/>
        </w:rPr>
        <w:t>、317国道沿线、两江四河干流沿岸等关键生态区位，开展</w:t>
      </w:r>
      <w:r>
        <w:rPr>
          <w:rFonts w:hint="eastAsia" w:ascii="Times New Roman" w:hAnsi="Times New Roman" w:eastAsia="仿宋_GB2312" w:cs="仿宋_GB2312"/>
          <w:spacing w:val="-6"/>
          <w:sz w:val="32"/>
          <w:szCs w:val="32"/>
          <w:lang w:val="en-US" w:eastAsia="zh-CN"/>
        </w:rPr>
        <w:t>绿化造林、封山育林及森林抚育，因地制宜配套建设水利灌溉设施，统筹开展</w:t>
      </w:r>
      <w:r>
        <w:rPr>
          <w:rFonts w:hint="eastAsia" w:ascii="Times New Roman" w:hAnsi="Times New Roman" w:eastAsia="仿宋_GB2312" w:cs="仿宋_GB2312"/>
          <w:spacing w:val="-6"/>
          <w:sz w:val="32"/>
          <w:szCs w:val="32"/>
          <w:lang w:val="en" w:eastAsia="zh-CN"/>
        </w:rPr>
        <w:t>森林质量</w:t>
      </w:r>
      <w:r>
        <w:rPr>
          <w:rFonts w:hint="eastAsia" w:ascii="Times New Roman" w:hAnsi="Times New Roman" w:eastAsia="仿宋_GB2312" w:cs="仿宋_GB2312"/>
          <w:spacing w:val="-6"/>
          <w:sz w:val="32"/>
          <w:szCs w:val="32"/>
          <w:lang w:val="en-US" w:eastAsia="zh-CN"/>
        </w:rPr>
        <w:t>提升行动</w:t>
      </w:r>
      <w:r>
        <w:rPr>
          <w:rFonts w:hint="eastAsia" w:ascii="Times New Roman" w:hAnsi="Times New Roman" w:eastAsia="仿宋_GB2312" w:cs="仿宋_GB2312"/>
          <w:spacing w:val="0"/>
          <w:sz w:val="32"/>
          <w:szCs w:val="32"/>
          <w:lang w:val="en" w:eastAsia="zh-CN"/>
        </w:rPr>
        <w:t>。严格依规开展林地占用审核审批工作，做好林地规划、用地施工、后期恢复等林地使用全过程监管。</w:t>
      </w:r>
    </w:p>
    <w:p w14:paraId="66A4598B">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35" w:name="_Toc14994"/>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val="en" w:eastAsia="zh-CN"/>
        </w:rPr>
        <w:t>）加强</w:t>
      </w:r>
      <w:r>
        <w:rPr>
          <w:rFonts w:hint="eastAsia" w:ascii="楷体" w:hAnsi="楷体" w:eastAsia="楷体" w:cs="楷体"/>
          <w:sz w:val="32"/>
          <w:szCs w:val="32"/>
          <w:lang w:val="en-US" w:eastAsia="zh-CN"/>
        </w:rPr>
        <w:t>草原</w:t>
      </w:r>
      <w:r>
        <w:rPr>
          <w:rFonts w:hint="eastAsia" w:ascii="楷体" w:hAnsi="楷体" w:eastAsia="楷体" w:cs="楷体"/>
          <w:sz w:val="32"/>
          <w:szCs w:val="32"/>
          <w:lang w:val="en" w:eastAsia="zh-CN"/>
        </w:rPr>
        <w:t>生态系统保护</w:t>
      </w:r>
      <w:r>
        <w:rPr>
          <w:rFonts w:hint="eastAsia" w:ascii="楷体" w:hAnsi="楷体" w:eastAsia="楷体" w:cs="楷体"/>
          <w:sz w:val="32"/>
          <w:szCs w:val="32"/>
          <w:lang w:val="en-US" w:eastAsia="zh-CN"/>
        </w:rPr>
        <w:t>修复</w:t>
      </w:r>
      <w:bookmarkEnd w:id="35"/>
    </w:p>
    <w:p w14:paraId="0451AE4E">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val="0"/>
          <w:bCs w:val="0"/>
          <w:spacing w:val="-6"/>
          <w:sz w:val="32"/>
          <w:szCs w:val="32"/>
          <w:lang w:val="en-US" w:eastAsia="zh-CN"/>
        </w:rPr>
        <w:t>积极落实基本草原保护制度，科学合理划定基本草原范围，落实最严格的保护和管理措施。落实草原生态保护补助奖励机制政策，严格执行禁牧休牧和草畜平衡制度，科学划定草原禁牧和草畜平衡区范围并实行动态管理</w:t>
      </w:r>
      <w:r>
        <w:rPr>
          <w:rFonts w:hint="eastAsia" w:ascii="Times New Roman" w:hAnsi="Times New Roman" w:eastAsia="仿宋_GB2312" w:cs="仿宋_GB2312"/>
          <w:spacing w:val="-6"/>
          <w:sz w:val="32"/>
          <w:szCs w:val="32"/>
          <w:lang w:val="en-US" w:eastAsia="zh-CN"/>
        </w:rPr>
        <w:t>。统筹推进沙化草原治理、退化草原生态修复、鼠害综合治理，</w:t>
      </w:r>
      <w:r>
        <w:rPr>
          <w:rFonts w:hint="eastAsia" w:ascii="Times New Roman" w:hAnsi="Times New Roman" w:eastAsia="仿宋_GB2312" w:cs="仿宋_GB2312"/>
          <w:spacing w:val="0"/>
          <w:sz w:val="32"/>
          <w:szCs w:val="32"/>
          <w:lang w:val="en" w:eastAsia="zh-CN"/>
        </w:rPr>
        <w:t>稳步修复草原植被群落结构</w:t>
      </w:r>
      <w:r>
        <w:rPr>
          <w:rFonts w:hint="eastAsia" w:ascii="Times New Roman" w:hAnsi="Times New Roman" w:eastAsia="仿宋_GB2312" w:cs="仿宋_GB2312"/>
          <w:spacing w:val="-6"/>
          <w:sz w:val="32"/>
          <w:szCs w:val="32"/>
          <w:lang w:val="en-US" w:eastAsia="zh-CN"/>
        </w:rPr>
        <w:t>。强化虫草采挖草原生态系统保护，规范采挖作业行为，降低采挖活动对草场植被、土壤结构的破坏。</w:t>
      </w:r>
      <w:r>
        <w:rPr>
          <w:rFonts w:hint="eastAsia" w:ascii="Times New Roman" w:hAnsi="Times New Roman" w:eastAsia="仿宋_GB2312" w:cs="仿宋_GB2312"/>
          <w:spacing w:val="0"/>
          <w:sz w:val="32"/>
          <w:szCs w:val="32"/>
          <w:lang w:val="en" w:eastAsia="zh-CN"/>
        </w:rPr>
        <w:t>健全草原常态化管护机制，严控超载放牧、乱采滥挖等破坏行为。规范草地审核审批管理，做好草地使用全过程监管，</w:t>
      </w:r>
      <w:r>
        <w:rPr>
          <w:rFonts w:hint="eastAsia" w:ascii="Times New Roman" w:hAnsi="Times New Roman" w:eastAsia="仿宋_GB2312" w:cs="仿宋_GB2312"/>
          <w:spacing w:val="-6"/>
          <w:sz w:val="32"/>
          <w:szCs w:val="32"/>
          <w:lang w:val="en-US" w:eastAsia="zh-CN"/>
        </w:rPr>
        <w:t>严厉查处非法侵占、违规开垦草原等违法行为。</w:t>
      </w:r>
    </w:p>
    <w:p w14:paraId="58177E7D">
      <w:pPr>
        <w:keepNext w:val="0"/>
        <w:keepLines w:val="0"/>
        <w:pageBreakBefore w:val="0"/>
        <w:widowControl w:val="0"/>
        <w:numPr>
          <w:ilvl w:val="0"/>
          <w:numId w:val="4"/>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lang w:val="en-US" w:eastAsia="zh-CN"/>
        </w:rPr>
      </w:pPr>
      <w:bookmarkStart w:id="36" w:name="_Toc24540"/>
      <w:r>
        <w:rPr>
          <w:rFonts w:hint="eastAsia" w:ascii="楷体" w:hAnsi="楷体" w:eastAsia="楷体" w:cs="楷体"/>
          <w:sz w:val="32"/>
          <w:szCs w:val="32"/>
          <w:lang w:val="en-US" w:eastAsia="zh-CN"/>
        </w:rPr>
        <w:t>强化冰川生态系统保护</w:t>
      </w:r>
      <w:bookmarkEnd w:id="36"/>
    </w:p>
    <w:p w14:paraId="2B433157">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b w:val="0"/>
          <w:bCs w:val="0"/>
          <w:spacing w:val="-6"/>
          <w:sz w:val="32"/>
          <w:szCs w:val="32"/>
          <w:lang w:val="en-US" w:eastAsia="zh-CN"/>
        </w:rPr>
      </w:pPr>
      <w:r>
        <w:rPr>
          <w:rFonts w:hint="eastAsia" w:ascii="Times New Roman" w:hAnsi="Times New Roman" w:eastAsia="仿宋_GB2312" w:cs="仿宋_GB2312"/>
          <w:b w:val="0"/>
          <w:bCs w:val="0"/>
          <w:spacing w:val="-6"/>
          <w:sz w:val="32"/>
          <w:szCs w:val="32"/>
          <w:lang w:val="en-US" w:eastAsia="zh-CN"/>
        </w:rPr>
        <w:t>严格落实冰川源头空间管控，严控冰川周边无序放牧、违规建设等人为扰动，实施冰川在线监测、监控能力建设工程，采取地面观测手段为主，无人机观测为辅的监测手段，开展碑加冰川、种给马弄冰川、东碑加冰川、西碑加冰川监测观测工作，对冰川面积、变化等进行观测监测，掌握冰川动态变化情况。加强冰川项目开发的监督管理，对涉及冰川区域的旅游开发、基础设施建设等项目实行严格的用地和规划审批制度，禁止开发性、生产性建设活动。建立健全执法联动机制，强化公安、自然资源、生态环境等部门协作，形成执法合力，加强冰川特别是纳入保护名录的重点冰川区域的日常巡查和执法检查，对违反冰川保护法规的行为，依法给予行政处罚，情节严重的，追究刑事责任。通过多种宣传渠道，开展冰川保护宣传教育活动，普及冰川保护知识，提高公众的保护意识。建立健全公众举报机制，鼓励公众对冰川保护违法行为进行举报，及时处理公众反映的问题。</w:t>
      </w:r>
    </w:p>
    <w:p w14:paraId="1F00AC26">
      <w:pPr>
        <w:keepNext w:val="0"/>
        <w:keepLines w:val="0"/>
        <w:pageBreakBefore w:val="0"/>
        <w:widowControl w:val="0"/>
        <w:numPr>
          <w:ilvl w:val="0"/>
          <w:numId w:val="4"/>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37" w:name="_Toc17584"/>
      <w:r>
        <w:rPr>
          <w:rFonts w:hint="eastAsia" w:ascii="楷体" w:hAnsi="楷体" w:eastAsia="楷体" w:cs="楷体"/>
          <w:sz w:val="32"/>
          <w:szCs w:val="32"/>
          <w:lang w:val="en-US" w:eastAsia="zh-CN"/>
        </w:rPr>
        <w:t>强化湿地生态系统保护修复</w:t>
      </w:r>
      <w:bookmarkEnd w:id="37"/>
    </w:p>
    <w:p w14:paraId="738AC818">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highlight w:val="none"/>
          <w:lang w:val="en-US" w:eastAsia="zh-CN"/>
        </w:rPr>
      </w:pPr>
      <w:r>
        <w:rPr>
          <w:rFonts w:hint="eastAsia" w:ascii="Times New Roman" w:hAnsi="Times New Roman" w:eastAsia="仿宋_GB2312" w:cs="仿宋_GB2312"/>
          <w:spacing w:val="-6"/>
          <w:sz w:val="32"/>
          <w:szCs w:val="32"/>
          <w:highlight w:val="none"/>
          <w:lang w:val="en-US" w:eastAsia="zh-CN"/>
        </w:rPr>
        <w:t>以布托湖国家湿地公园为核心保护重点，聚焦湖泊水域、沼泽草甸、河滨岸带等关键生态单元，常态化开展原生湿地保育、生态修复与系统管护工作。严格规范湿地范围内草场利用、水资源调度等生产经营活动，严控人为扰动破坏，持续优化湿地生态生存环境。完善湿地野生动植物栖息管护举措，全力守护区域生物多样性资源。充分发挥布托湖国家湿地公园管理站阵地作用，常态化开展湿地生态日常巡护巡查，严厉整治各类破坏湿地资源的违法行为，同步加大生态保护宣传科普力度，全面提升群众湿地保护意识。</w:t>
      </w:r>
    </w:p>
    <w:p w14:paraId="72F39C75">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38" w:name="_Toc29320"/>
      <w:r>
        <w:rPr>
          <w:rFonts w:hint="eastAsia" w:ascii="楷体" w:hAnsi="楷体" w:eastAsia="楷体" w:cs="楷体"/>
          <w:sz w:val="32"/>
          <w:szCs w:val="32"/>
          <w:lang w:val="en-US" w:eastAsia="zh-CN"/>
        </w:rPr>
        <w:t>（五）加强退化区域生态保护修复</w:t>
      </w:r>
      <w:bookmarkEnd w:id="38"/>
    </w:p>
    <w:p w14:paraId="6BDC62DB">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rPr>
      </w:pPr>
      <w:r>
        <w:rPr>
          <w:rFonts w:hint="eastAsia" w:ascii="Times New Roman" w:hAnsi="Times New Roman" w:eastAsia="仿宋_GB2312" w:cs="仿宋_GB2312"/>
          <w:b w:val="0"/>
          <w:bCs w:val="0"/>
          <w:spacing w:val="-6"/>
          <w:sz w:val="32"/>
          <w:szCs w:val="32"/>
          <w:lang w:val="en-US" w:eastAsia="zh-CN"/>
        </w:rPr>
        <w:t>严格控制并科学规划矿产资源开发，抓实在产、在探矿山地质环境保护与修复常态化监管，督促企业严格落实生态治理责任，持续推进色康矿区砖瓦用泥岩、金元煤业自家浦煤矿生态修复。</w:t>
      </w:r>
      <w:r>
        <w:rPr>
          <w:rFonts w:hint="eastAsia" w:ascii="Times New Roman" w:hAnsi="Times New Roman" w:eastAsia="仿宋_GB2312" w:cs="仿宋_GB2312"/>
          <w:spacing w:val="-6"/>
          <w:sz w:val="32"/>
          <w:szCs w:val="32"/>
          <w:lang w:val="en-US" w:eastAsia="zh-CN"/>
        </w:rPr>
        <w:t>巩固历史遗留废弃矿山生态修复治理成效，压实日常管护责任，严防植被退化损毁，切实稳固生态治理修复成效。</w:t>
      </w:r>
      <w:r>
        <w:rPr>
          <w:rFonts w:hint="eastAsia" w:ascii="Times New Roman" w:hAnsi="Times New Roman" w:eastAsia="仿宋_GB2312" w:cs="仿宋_GB2312"/>
          <w:b w:val="0"/>
          <w:bCs w:val="0"/>
          <w:spacing w:val="-6"/>
          <w:sz w:val="32"/>
          <w:szCs w:val="32"/>
          <w:lang w:val="en-US" w:eastAsia="zh-CN"/>
        </w:rPr>
        <w:t>强化交通项目、清洁能源项目等重点项目监管，重点紧盯边坡溜渣管控、区域植被复绿、沿线水土保持等核心领域，加大日常监管巡查力度，督促施工单位落实生态治理举措，从严恪守施工规范与生态修复质量标准。</w:t>
      </w:r>
      <w:r>
        <w:rPr>
          <w:rFonts w:hint="eastAsia" w:ascii="Times New Roman" w:hAnsi="Times New Roman" w:eastAsia="仿宋_GB2312" w:cs="仿宋_GB2312"/>
          <w:spacing w:val="-6"/>
          <w:sz w:val="32"/>
          <w:szCs w:val="32"/>
        </w:rPr>
        <w:t>加强水土流失预防保护工作</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rPr>
        <w:t>严格</w:t>
      </w:r>
      <w:r>
        <w:rPr>
          <w:rFonts w:hint="eastAsia" w:ascii="Times New Roman" w:hAnsi="Times New Roman" w:eastAsia="仿宋_GB2312" w:cs="仿宋_GB2312"/>
          <w:spacing w:val="-6"/>
          <w:sz w:val="32"/>
          <w:szCs w:val="32"/>
          <w:lang w:val="en-US" w:eastAsia="zh-CN"/>
        </w:rPr>
        <w:t>遵守</w:t>
      </w:r>
      <w:r>
        <w:rPr>
          <w:rFonts w:hint="eastAsia" w:ascii="Times New Roman" w:hAnsi="Times New Roman" w:eastAsia="仿宋_GB2312" w:cs="仿宋_GB2312"/>
          <w:spacing w:val="-6"/>
          <w:sz w:val="32"/>
          <w:szCs w:val="32"/>
        </w:rPr>
        <w:t>禁止开垦陡坡地范围</w:t>
      </w:r>
      <w:r>
        <w:rPr>
          <w:rFonts w:hint="eastAsia" w:ascii="Times New Roman" w:hAnsi="Times New Roman" w:eastAsia="仿宋_GB2312" w:cs="仿宋_GB2312"/>
          <w:spacing w:val="-6"/>
          <w:sz w:val="32"/>
          <w:szCs w:val="32"/>
          <w:lang w:val="en-US" w:eastAsia="zh-CN"/>
        </w:rPr>
        <w:t>内开垦种植农作物相关规定，</w:t>
      </w:r>
      <w:r>
        <w:rPr>
          <w:rFonts w:hint="eastAsia" w:ascii="Times New Roman" w:hAnsi="Times New Roman" w:eastAsia="仿宋_GB2312" w:cs="仿宋_GB2312"/>
          <w:spacing w:val="-6"/>
          <w:sz w:val="32"/>
          <w:szCs w:val="32"/>
        </w:rPr>
        <w:t>开展水土流失综合防治</w:t>
      </w:r>
      <w:r>
        <w:rPr>
          <w:rFonts w:hint="eastAsia" w:ascii="Times New Roman" w:hAnsi="Times New Roman" w:eastAsia="仿宋_GB2312" w:cs="仿宋_GB2312"/>
          <w:spacing w:val="-6"/>
          <w:sz w:val="32"/>
          <w:szCs w:val="32"/>
          <w:lang w:eastAsia="zh-CN"/>
        </w:rPr>
        <w:t>，</w:t>
      </w:r>
      <w:r>
        <w:rPr>
          <w:rFonts w:hint="eastAsia" w:ascii="Times New Roman" w:hAnsi="Times New Roman" w:eastAsia="仿宋_GB2312" w:cs="仿宋_GB2312"/>
          <w:spacing w:val="-6"/>
          <w:sz w:val="32"/>
          <w:szCs w:val="32"/>
        </w:rPr>
        <w:t>实施</w:t>
      </w:r>
      <w:r>
        <w:rPr>
          <w:rFonts w:hint="eastAsia" w:ascii="Times New Roman" w:hAnsi="Times New Roman" w:eastAsia="仿宋_GB2312" w:cs="仿宋_GB2312"/>
          <w:spacing w:val="-6"/>
          <w:sz w:val="32"/>
          <w:szCs w:val="32"/>
          <w:lang w:val="en-US" w:eastAsia="zh-CN"/>
        </w:rPr>
        <w:t>县城区域及色康村水土流失治理工程，到2030年，完成水土流失治理面积38平方公里</w:t>
      </w:r>
      <w:r>
        <w:rPr>
          <w:rFonts w:hint="eastAsia" w:ascii="Times New Roman" w:hAnsi="Times New Roman" w:eastAsia="仿宋_GB2312" w:cs="仿宋_GB2312"/>
          <w:spacing w:val="-6"/>
          <w:sz w:val="32"/>
          <w:szCs w:val="32"/>
        </w:rPr>
        <w:t>。</w:t>
      </w:r>
    </w:p>
    <w:p w14:paraId="486FC6C4">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39" w:name="_Toc1204"/>
      <w:bookmarkStart w:id="40" w:name="_Toc16137"/>
      <w:bookmarkStart w:id="41" w:name="_Toc26603"/>
      <w:r>
        <w:rPr>
          <w:rFonts w:hint="eastAsia" w:ascii="黑体" w:hAnsi="黑体" w:eastAsia="黑体" w:cs="黑体"/>
          <w:b w:val="0"/>
          <w:bCs w:val="0"/>
          <w:color w:val="auto"/>
          <w:sz w:val="32"/>
          <w:szCs w:val="32"/>
          <w:highlight w:val="none"/>
          <w:lang w:val="en-US" w:eastAsia="zh-CN" w:bidi="ar-SA"/>
        </w:rPr>
        <w:t>三、加大生物多样性保护力度</w:t>
      </w:r>
      <w:bookmarkEnd w:id="39"/>
      <w:bookmarkEnd w:id="40"/>
      <w:bookmarkEnd w:id="41"/>
    </w:p>
    <w:p w14:paraId="63137614">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42" w:name="_Toc10503"/>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val="en" w:eastAsia="zh-CN"/>
        </w:rPr>
        <w:t>）强化生物多样性保护</w:t>
      </w:r>
      <w:bookmarkEnd w:id="42"/>
    </w:p>
    <w:p w14:paraId="5DE188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0"/>
          <w:sz w:val="32"/>
          <w:szCs w:val="32"/>
          <w:lang w:val="en-US" w:eastAsia="zh-CN"/>
        </w:rPr>
        <w:t>落实《</w:t>
      </w:r>
      <w:r>
        <w:rPr>
          <w:rFonts w:hint="eastAsia" w:ascii="Times New Roman" w:hAnsi="Times New Roman" w:eastAsia="仿宋_GB2312" w:cs="仿宋_GB2312"/>
          <w:spacing w:val="0"/>
          <w:sz w:val="32"/>
          <w:szCs w:val="32"/>
          <w:lang w:val="en" w:eastAsia="zh-CN"/>
        </w:rPr>
        <w:t>昌都市生物多样性保护方案》</w:t>
      </w:r>
      <w:r>
        <w:rPr>
          <w:rFonts w:hint="eastAsia" w:ascii="Times New Roman" w:hAnsi="Times New Roman" w:eastAsia="仿宋_GB2312" w:cs="仿宋_GB2312"/>
          <w:spacing w:val="0"/>
          <w:sz w:val="32"/>
          <w:szCs w:val="32"/>
          <w:lang w:val="en-US" w:eastAsia="zh-CN"/>
        </w:rPr>
        <w:t>《</w:t>
      </w:r>
      <w:r>
        <w:rPr>
          <w:rFonts w:hint="eastAsia" w:ascii="Times New Roman" w:hAnsi="Times New Roman" w:eastAsia="仿宋_GB2312" w:cs="仿宋_GB2312"/>
          <w:spacing w:val="0"/>
          <w:sz w:val="32"/>
          <w:szCs w:val="32"/>
          <w:lang w:val="en" w:eastAsia="zh-CN"/>
        </w:rPr>
        <w:t>昌都市野生动植物保护及栖息地建设总体规划》，</w:t>
      </w:r>
      <w:r>
        <w:rPr>
          <w:rFonts w:hint="eastAsia" w:ascii="Times New Roman" w:hAnsi="Times New Roman" w:eastAsia="仿宋_GB2312" w:cs="仿宋_GB2312"/>
          <w:spacing w:val="0"/>
          <w:sz w:val="32"/>
          <w:szCs w:val="32"/>
          <w:lang w:val="en-US" w:eastAsia="zh-CN"/>
        </w:rPr>
        <w:t>开展动植物资源本底调查，</w:t>
      </w:r>
      <w:r>
        <w:rPr>
          <w:rFonts w:hint="eastAsia" w:ascii="Times New Roman" w:hAnsi="Times New Roman" w:eastAsia="仿宋_GB2312" w:cs="仿宋_GB2312"/>
          <w:spacing w:val="0"/>
          <w:sz w:val="32"/>
          <w:szCs w:val="32"/>
          <w:lang w:val="en" w:eastAsia="zh-CN"/>
        </w:rPr>
        <w:t>围绕各类型生态廊道构建生物多样性保护体系，适度限制人为活动，保护重要生态系统、生物物种和生物遗传资源，推动栖息地斑块间融合连通，促进动植物种群基因交流，保障物种生存繁衍。</w:t>
      </w:r>
      <w:r>
        <w:rPr>
          <w:rFonts w:hint="eastAsia" w:ascii="Times New Roman" w:hAnsi="Times New Roman" w:eastAsia="仿宋_GB2312" w:cs="仿宋_GB2312"/>
          <w:spacing w:val="0"/>
          <w:sz w:val="32"/>
          <w:szCs w:val="32"/>
          <w:lang w:val="en-US" w:eastAsia="zh-CN"/>
        </w:rPr>
        <w:t>强化野生</w:t>
      </w:r>
      <w:r>
        <w:rPr>
          <w:rFonts w:hint="eastAsia" w:ascii="Times New Roman" w:hAnsi="Times New Roman" w:eastAsia="仿宋_GB2312" w:cs="仿宋_GB2312"/>
          <w:spacing w:val="0"/>
          <w:sz w:val="32"/>
          <w:szCs w:val="32"/>
          <w:lang w:val="en" w:eastAsia="zh-CN"/>
        </w:rPr>
        <w:t>动植物保护能力提升，</w:t>
      </w:r>
      <w:r>
        <w:rPr>
          <w:rFonts w:hint="eastAsia" w:ascii="Times New Roman" w:hAnsi="Times New Roman" w:eastAsia="仿宋_GB2312" w:cs="仿宋_GB2312"/>
          <w:spacing w:val="0"/>
          <w:sz w:val="32"/>
          <w:szCs w:val="32"/>
          <w:lang w:val="en-US" w:eastAsia="zh-CN"/>
        </w:rPr>
        <w:t>开展丁青县野生动物保护救助站及动物疫病检测实验室建设。</w:t>
      </w:r>
      <w:r>
        <w:rPr>
          <w:rFonts w:hint="eastAsia" w:ascii="Times New Roman" w:hAnsi="Times New Roman" w:eastAsia="仿宋_GB2312" w:cs="仿宋_GB2312"/>
          <w:spacing w:val="-6"/>
          <w:sz w:val="32"/>
          <w:szCs w:val="32"/>
          <w:lang w:val="en" w:eastAsia="zh-CN"/>
        </w:rPr>
        <w:t>全面执行怒江</w:t>
      </w:r>
      <w:r>
        <w:rPr>
          <w:rFonts w:hint="eastAsia" w:ascii="Times New Roman" w:hAnsi="Times New Roman" w:eastAsia="仿宋_GB2312" w:cs="仿宋_GB2312"/>
          <w:spacing w:val="-6"/>
          <w:sz w:val="32"/>
          <w:szCs w:val="32"/>
          <w:lang w:val="en-US" w:eastAsia="zh-CN"/>
        </w:rPr>
        <w:t>流域</w:t>
      </w:r>
      <w:r>
        <w:rPr>
          <w:rFonts w:hint="eastAsia" w:ascii="Times New Roman" w:hAnsi="Times New Roman" w:eastAsia="仿宋_GB2312" w:cs="仿宋_GB2312"/>
          <w:spacing w:val="-6"/>
          <w:sz w:val="32"/>
          <w:szCs w:val="32"/>
          <w:lang w:val="en" w:eastAsia="zh-CN"/>
        </w:rPr>
        <w:t>禁渔休渔规定，坚决禁止炸鱼、毒鱼、电鱼等非法捕捞行为，规范水生生物放生行为。推动生物多样性保护公众参与，加强相关法律法规、科学知识、典型案例的科普宣传，鼓励公民主动举报违法行为。</w:t>
      </w:r>
    </w:p>
    <w:p w14:paraId="65313969">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43" w:name="_Toc25015"/>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val="en" w:eastAsia="zh-CN"/>
        </w:rPr>
        <w:t>）严格外来入侵物种防控</w:t>
      </w:r>
      <w:bookmarkEnd w:id="43"/>
    </w:p>
    <w:p w14:paraId="7095EC73">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6"/>
          <w:sz w:val="32"/>
          <w:szCs w:val="32"/>
          <w:lang w:val="en" w:eastAsia="zh-CN"/>
        </w:rPr>
        <w:t>以</w:t>
      </w:r>
      <w:r>
        <w:rPr>
          <w:rFonts w:hint="eastAsia" w:ascii="Times New Roman" w:hAnsi="Times New Roman" w:eastAsia="仿宋_GB2312" w:cs="仿宋_GB2312"/>
          <w:spacing w:val="-6"/>
          <w:sz w:val="32"/>
          <w:szCs w:val="32"/>
          <w:lang w:val="en-US" w:eastAsia="zh-CN"/>
        </w:rPr>
        <w:t>丁青县</w:t>
      </w:r>
      <w:r>
        <w:rPr>
          <w:rFonts w:hint="eastAsia" w:ascii="Times New Roman" w:hAnsi="Times New Roman" w:eastAsia="仿宋_GB2312" w:cs="仿宋_GB2312"/>
          <w:spacing w:val="-6"/>
          <w:sz w:val="32"/>
          <w:szCs w:val="32"/>
          <w:lang w:val="en" w:eastAsia="zh-CN"/>
        </w:rPr>
        <w:t>森林、草原、湿地</w:t>
      </w:r>
      <w:r>
        <w:rPr>
          <w:rFonts w:hint="eastAsia" w:ascii="Times New Roman" w:hAnsi="Times New Roman" w:eastAsia="仿宋_GB2312" w:cs="仿宋_GB2312"/>
          <w:spacing w:val="-6"/>
          <w:sz w:val="32"/>
          <w:szCs w:val="32"/>
          <w:lang w:val="en-US" w:eastAsia="zh-CN"/>
        </w:rPr>
        <w:t>生态系统外来入侵物种普查结果</w:t>
      </w:r>
      <w:r>
        <w:rPr>
          <w:rFonts w:hint="eastAsia" w:ascii="Times New Roman" w:hAnsi="Times New Roman" w:eastAsia="仿宋_GB2312" w:cs="仿宋_GB2312"/>
          <w:spacing w:val="-6"/>
          <w:sz w:val="32"/>
          <w:szCs w:val="32"/>
          <w:lang w:val="en" w:eastAsia="zh-CN"/>
        </w:rPr>
        <w:t>为基础，聚焦草木樨、紫苜蓿、苦苣菜等10类草本入侵植物，按照分区管控、动态监测、经费保障、联防共治思路系统化落实外来入侵物种全链条防控举措。搭建县域入侵物种常态化监测网络，组建专项调查队伍定期摸排丁青镇、尺犊镇、当堆乡</w:t>
      </w:r>
      <w:r>
        <w:rPr>
          <w:rFonts w:hint="eastAsia" w:ascii="Times New Roman" w:hAnsi="Times New Roman" w:eastAsia="仿宋_GB2312" w:cs="仿宋_GB2312"/>
          <w:spacing w:val="-6"/>
          <w:sz w:val="32"/>
          <w:szCs w:val="32"/>
          <w:lang w:val="en-US" w:eastAsia="zh-CN"/>
        </w:rPr>
        <w:t>等</w:t>
      </w:r>
      <w:r>
        <w:rPr>
          <w:rFonts w:hint="eastAsia" w:ascii="Times New Roman" w:hAnsi="Times New Roman" w:eastAsia="仿宋_GB2312" w:cs="仿宋_GB2312"/>
          <w:spacing w:val="-6"/>
          <w:sz w:val="32"/>
          <w:szCs w:val="32"/>
          <w:lang w:val="en" w:eastAsia="zh-CN"/>
        </w:rPr>
        <w:t>9个涉入侵乡镇物种分布、繁育扩散动态，同步深化与类乌齐、边坝等毗邻县域跨区域联防协作，共享防控数据与治理经验。开展分级分类风险管控，针对全县现有低风险入侵物种，对紫苜蓿、草木樨等引种牧草划定合规种植范围，严禁在林缘、河道、国道沿线等易扩散地带违规种植。常态化开展生态科普宣传，面向农牧群众普及外来物种生态危害，引导群众主动规避违规引种、随意弃种行为，严防入侵物种向布托湖湿地、高寒草原、冰川源头等核心生态空间扩散。</w:t>
      </w:r>
    </w:p>
    <w:p w14:paraId="23836765">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44" w:name="_Toc4833"/>
      <w:bookmarkStart w:id="45" w:name="_Toc19351"/>
      <w:bookmarkStart w:id="46" w:name="_Toc25628"/>
      <w:r>
        <w:rPr>
          <w:rFonts w:hint="eastAsia" w:ascii="黑体" w:hAnsi="黑体" w:eastAsia="黑体" w:cs="黑体"/>
          <w:b w:val="0"/>
          <w:bCs w:val="0"/>
          <w:color w:val="auto"/>
          <w:sz w:val="32"/>
          <w:szCs w:val="32"/>
          <w:highlight w:val="none"/>
          <w:lang w:val="en-US" w:eastAsia="zh-CN" w:bidi="ar-SA"/>
        </w:rPr>
        <w:t>四、深化国家生态文明高地建设</w:t>
      </w:r>
      <w:bookmarkEnd w:id="44"/>
      <w:bookmarkEnd w:id="45"/>
      <w:bookmarkEnd w:id="46"/>
    </w:p>
    <w:p w14:paraId="7C9F799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47" w:name="_Toc16187"/>
      <w:r>
        <w:rPr>
          <w:rFonts w:hint="eastAsia" w:ascii="楷体" w:hAnsi="楷体" w:eastAsia="楷体" w:cs="楷体"/>
          <w:sz w:val="32"/>
          <w:szCs w:val="32"/>
          <w:lang w:val="en-US" w:eastAsia="zh-CN"/>
        </w:rPr>
        <w:t>（一）强化国家生态文明高地建设</w:t>
      </w:r>
      <w:bookmarkEnd w:id="47"/>
    </w:p>
    <w:p w14:paraId="3CD2D664">
      <w:pPr>
        <w:spacing w:line="560" w:lineRule="exact"/>
        <w:ind w:firstLine="616" w:firstLineChars="200"/>
        <w:rPr>
          <w:rFonts w:hint="eastAsia" w:ascii="Times New Roman" w:hAnsi="Times New Roman" w:eastAsia="仿宋_GB2312" w:cs="仿宋_GB2312"/>
          <w:spacing w:val="-6"/>
          <w:sz w:val="32"/>
          <w:szCs w:val="32"/>
          <w:highlight w:val="none"/>
          <w:lang w:val="en"/>
        </w:rPr>
      </w:pPr>
      <w:r>
        <w:rPr>
          <w:rFonts w:hint="eastAsia" w:ascii="Times New Roman" w:hAnsi="Times New Roman" w:eastAsia="仿宋_GB2312" w:cs="仿宋_GB2312"/>
          <w:spacing w:val="-6"/>
          <w:sz w:val="32"/>
          <w:szCs w:val="32"/>
          <w:highlight w:val="none"/>
          <w:lang w:val="en-US" w:eastAsia="zh-CN"/>
        </w:rPr>
        <w:t>按照昌都市部署，</w:t>
      </w:r>
      <w:r>
        <w:rPr>
          <w:rFonts w:hint="eastAsia" w:ascii="Times New Roman" w:hAnsi="Times New Roman" w:eastAsia="仿宋_GB2312" w:cs="仿宋_GB2312"/>
          <w:spacing w:val="-6"/>
          <w:sz w:val="32"/>
          <w:szCs w:val="32"/>
          <w:highlight w:val="none"/>
          <w:lang w:val="en"/>
        </w:rPr>
        <w:t>制定生态文明高地建设年度工作方案，明确生态文明高地建设</w:t>
      </w:r>
      <w:r>
        <w:rPr>
          <w:rFonts w:hint="eastAsia" w:ascii="Times New Roman" w:hAnsi="Times New Roman" w:eastAsia="仿宋_GB2312" w:cs="仿宋_GB2312"/>
          <w:spacing w:val="-6"/>
          <w:sz w:val="32"/>
          <w:szCs w:val="32"/>
          <w:highlight w:val="none"/>
          <w:lang w:val="en-US" w:eastAsia="zh-CN"/>
        </w:rPr>
        <w:t>年度重点指标、</w:t>
      </w:r>
      <w:r>
        <w:rPr>
          <w:rFonts w:hint="eastAsia" w:ascii="Times New Roman" w:hAnsi="Times New Roman" w:eastAsia="仿宋_GB2312" w:cs="仿宋_GB2312"/>
          <w:spacing w:val="-6"/>
          <w:sz w:val="32"/>
          <w:szCs w:val="32"/>
          <w:highlight w:val="none"/>
          <w:lang w:val="en"/>
        </w:rPr>
        <w:t>重点任务、重大项目、重要政策文件、标志性工程“四张清单</w:t>
      </w:r>
      <w:r>
        <w:rPr>
          <w:rFonts w:hint="eastAsia" w:ascii="Times New Roman" w:hAnsi="Times New Roman" w:eastAsia="仿宋_GB2312" w:cs="仿宋_GB2312"/>
          <w:spacing w:val="-6"/>
          <w:sz w:val="32"/>
          <w:szCs w:val="32"/>
          <w:highlight w:val="none"/>
          <w:lang w:val="en" w:eastAsia="zh-CN"/>
        </w:rPr>
        <w:t>”。深入实施国家生态文明高地建设“十大行动”，</w:t>
      </w:r>
      <w:r>
        <w:rPr>
          <w:rFonts w:hint="eastAsia" w:ascii="Times New Roman" w:hAnsi="Times New Roman" w:eastAsia="仿宋_GB2312" w:cs="仿宋_GB2312"/>
          <w:spacing w:val="-6"/>
          <w:sz w:val="32"/>
          <w:szCs w:val="32"/>
          <w:highlight w:val="none"/>
          <w:lang w:val="en"/>
        </w:rPr>
        <w:t>持续推进国家安全屏障战略地、人与自然和谐共生示范地、绿色发展试验地、自然保护样板地、生态富民先行地及现代环境治理体系建设，全面提升生态文明高地整体效能，努力做到生态文明建设走在</w:t>
      </w:r>
      <w:r>
        <w:rPr>
          <w:rFonts w:hint="eastAsia" w:ascii="Times New Roman" w:hAnsi="Times New Roman" w:eastAsia="仿宋_GB2312" w:cs="仿宋_GB2312"/>
          <w:spacing w:val="-6"/>
          <w:sz w:val="32"/>
          <w:szCs w:val="32"/>
          <w:highlight w:val="none"/>
          <w:lang w:val="en-US" w:eastAsia="zh-CN"/>
        </w:rPr>
        <w:t>全市</w:t>
      </w:r>
      <w:r>
        <w:rPr>
          <w:rFonts w:hint="eastAsia" w:ascii="Times New Roman" w:hAnsi="Times New Roman" w:eastAsia="仿宋_GB2312" w:cs="仿宋_GB2312"/>
          <w:spacing w:val="-6"/>
          <w:sz w:val="32"/>
          <w:szCs w:val="32"/>
          <w:highlight w:val="none"/>
          <w:lang w:val="en"/>
        </w:rPr>
        <w:t>前列。</w:t>
      </w:r>
    </w:p>
    <w:p w14:paraId="0D729375">
      <w:pPr>
        <w:keepNext w:val="0"/>
        <w:keepLines w:val="0"/>
        <w:pageBreakBefore w:val="0"/>
        <w:widowControl w:val="0"/>
        <w:numPr>
          <w:ilvl w:val="0"/>
          <w:numId w:val="5"/>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48" w:name="_Toc4070"/>
      <w:r>
        <w:rPr>
          <w:rFonts w:hint="eastAsia" w:ascii="楷体" w:hAnsi="楷体" w:eastAsia="楷体" w:cs="楷体"/>
          <w:sz w:val="32"/>
          <w:szCs w:val="32"/>
          <w:lang w:val="en-US" w:eastAsia="zh-CN"/>
        </w:rPr>
        <w:t>巩固国家生态文明建设示范区成果</w:t>
      </w:r>
      <w:bookmarkEnd w:id="48"/>
    </w:p>
    <w:p w14:paraId="17D5637E">
      <w:pPr>
        <w:spacing w:line="560" w:lineRule="exact"/>
        <w:ind w:firstLine="616" w:firstLineChars="200"/>
        <w:rPr>
          <w:rFonts w:hint="default" w:ascii="Times New Roman" w:hAnsi="Times New Roman" w:eastAsia="仿宋_GB2312" w:cs="仿宋_GB2312"/>
          <w:spacing w:val="-6"/>
          <w:sz w:val="32"/>
          <w:szCs w:val="32"/>
          <w:highlight w:val="none"/>
          <w:lang w:val="en-US" w:eastAsia="zh-CN"/>
        </w:rPr>
      </w:pPr>
      <w:r>
        <w:rPr>
          <w:rFonts w:hint="eastAsia" w:ascii="Times New Roman" w:hAnsi="Times New Roman" w:eastAsia="仿宋_GB2312" w:cs="仿宋_GB2312"/>
          <w:spacing w:val="-6"/>
          <w:sz w:val="32"/>
          <w:szCs w:val="32"/>
          <w:highlight w:val="none"/>
          <w:lang w:val="en-US" w:eastAsia="zh-CN"/>
        </w:rPr>
        <w:t>按照</w:t>
      </w:r>
      <w:r>
        <w:rPr>
          <w:rFonts w:hint="default" w:ascii="Times New Roman" w:hAnsi="Times New Roman" w:eastAsia="仿宋_GB2312" w:cs="仿宋_GB2312"/>
          <w:spacing w:val="-6"/>
          <w:sz w:val="32"/>
          <w:szCs w:val="32"/>
          <w:highlight w:val="none"/>
          <w:lang w:val="en-US" w:eastAsia="zh-CN"/>
        </w:rPr>
        <w:t>国家生态文明建设示范区管理相关要求，对照国家生态文明建设示范区县域指标体系，常态化开展年度数据归集与系统填报工作</w:t>
      </w:r>
      <w:r>
        <w:rPr>
          <w:rFonts w:hint="eastAsia" w:ascii="Times New Roman" w:hAnsi="Times New Roman" w:eastAsia="仿宋_GB2312" w:cs="仿宋_GB2312"/>
          <w:spacing w:val="-6"/>
          <w:sz w:val="32"/>
          <w:szCs w:val="32"/>
          <w:highlight w:val="none"/>
          <w:lang w:val="en-US" w:eastAsia="zh-CN"/>
        </w:rPr>
        <w:t>。</w:t>
      </w:r>
      <w:r>
        <w:rPr>
          <w:rFonts w:hint="default" w:ascii="Times New Roman" w:hAnsi="Times New Roman" w:eastAsia="仿宋_GB2312" w:cs="仿宋_GB2312"/>
          <w:spacing w:val="-6"/>
          <w:sz w:val="32"/>
          <w:szCs w:val="32"/>
          <w:highlight w:val="none"/>
          <w:lang w:val="en-US" w:eastAsia="zh-CN"/>
        </w:rPr>
        <w:t>围绕</w:t>
      </w:r>
      <w:r>
        <w:rPr>
          <w:rFonts w:hint="eastAsia" w:ascii="Times New Roman" w:hAnsi="Times New Roman" w:eastAsia="仿宋_GB2312" w:cs="仿宋_GB2312"/>
          <w:spacing w:val="-6"/>
          <w:sz w:val="32"/>
          <w:szCs w:val="32"/>
          <w:highlight w:val="none"/>
          <w:lang w:val="en-US" w:eastAsia="zh-CN"/>
        </w:rPr>
        <w:t>环境质量改善</w:t>
      </w:r>
      <w:r>
        <w:rPr>
          <w:rFonts w:hint="default" w:ascii="Times New Roman" w:hAnsi="Times New Roman" w:eastAsia="仿宋_GB2312" w:cs="仿宋_GB2312"/>
          <w:spacing w:val="-6"/>
          <w:sz w:val="32"/>
          <w:szCs w:val="32"/>
          <w:highlight w:val="none"/>
          <w:lang w:val="en-US" w:eastAsia="zh-CN"/>
        </w:rPr>
        <w:t>、</w:t>
      </w:r>
      <w:r>
        <w:rPr>
          <w:rFonts w:hint="eastAsia" w:ascii="Times New Roman" w:hAnsi="Times New Roman" w:eastAsia="仿宋_GB2312" w:cs="仿宋_GB2312"/>
          <w:spacing w:val="-6"/>
          <w:sz w:val="32"/>
          <w:szCs w:val="32"/>
          <w:highlight w:val="none"/>
          <w:lang w:val="en-US" w:eastAsia="zh-CN"/>
        </w:rPr>
        <w:t>生态质量提升</w:t>
      </w:r>
      <w:r>
        <w:rPr>
          <w:rFonts w:hint="default" w:ascii="Times New Roman" w:hAnsi="Times New Roman" w:eastAsia="仿宋_GB2312" w:cs="仿宋_GB2312"/>
          <w:spacing w:val="-6"/>
          <w:sz w:val="32"/>
          <w:szCs w:val="32"/>
          <w:highlight w:val="none"/>
          <w:lang w:val="en-US" w:eastAsia="zh-CN"/>
        </w:rPr>
        <w:t>、</w:t>
      </w:r>
      <w:r>
        <w:rPr>
          <w:rFonts w:hint="eastAsia" w:ascii="Times New Roman" w:hAnsi="Times New Roman" w:eastAsia="仿宋_GB2312" w:cs="仿宋_GB2312"/>
          <w:spacing w:val="-6"/>
          <w:sz w:val="32"/>
          <w:szCs w:val="32"/>
          <w:highlight w:val="none"/>
          <w:lang w:val="en-US" w:eastAsia="zh-CN"/>
        </w:rPr>
        <w:t>生态风险防范</w:t>
      </w:r>
      <w:r>
        <w:rPr>
          <w:rFonts w:hint="default" w:ascii="Times New Roman" w:hAnsi="Times New Roman" w:eastAsia="仿宋_GB2312" w:cs="仿宋_GB2312"/>
          <w:spacing w:val="-6"/>
          <w:sz w:val="32"/>
          <w:szCs w:val="32"/>
          <w:highlight w:val="none"/>
          <w:lang w:val="en-US" w:eastAsia="zh-CN"/>
        </w:rPr>
        <w:t>、</w:t>
      </w:r>
      <w:r>
        <w:rPr>
          <w:rFonts w:hint="eastAsia" w:ascii="Times New Roman" w:hAnsi="Times New Roman" w:eastAsia="仿宋_GB2312" w:cs="仿宋_GB2312"/>
          <w:spacing w:val="-6"/>
          <w:sz w:val="32"/>
          <w:szCs w:val="32"/>
          <w:highlight w:val="none"/>
          <w:lang w:val="en-US" w:eastAsia="zh-CN"/>
        </w:rPr>
        <w:t>资源节约集约</w:t>
      </w:r>
      <w:r>
        <w:rPr>
          <w:rFonts w:hint="default" w:ascii="Times New Roman" w:hAnsi="Times New Roman" w:eastAsia="仿宋_GB2312" w:cs="仿宋_GB2312"/>
          <w:spacing w:val="-6"/>
          <w:sz w:val="32"/>
          <w:szCs w:val="32"/>
          <w:highlight w:val="none"/>
          <w:lang w:val="en-US" w:eastAsia="zh-CN"/>
        </w:rPr>
        <w:t>、生态文明制度建设等核心</w:t>
      </w:r>
      <w:r>
        <w:rPr>
          <w:rFonts w:hint="eastAsia" w:ascii="Times New Roman" w:hAnsi="Times New Roman" w:eastAsia="仿宋_GB2312" w:cs="仿宋_GB2312"/>
          <w:spacing w:val="-6"/>
          <w:sz w:val="32"/>
          <w:szCs w:val="32"/>
          <w:highlight w:val="none"/>
          <w:lang w:val="en-US" w:eastAsia="zh-CN"/>
        </w:rPr>
        <w:t>任务</w:t>
      </w:r>
      <w:r>
        <w:rPr>
          <w:rFonts w:hint="default" w:ascii="Times New Roman" w:hAnsi="Times New Roman" w:eastAsia="仿宋_GB2312" w:cs="仿宋_GB2312"/>
          <w:spacing w:val="-6"/>
          <w:sz w:val="32"/>
          <w:szCs w:val="32"/>
          <w:highlight w:val="none"/>
          <w:lang w:val="en-US" w:eastAsia="zh-CN"/>
        </w:rPr>
        <w:t>，逐项摸排</w:t>
      </w:r>
      <w:r>
        <w:rPr>
          <w:rFonts w:hint="eastAsia" w:ascii="Times New Roman" w:hAnsi="Times New Roman" w:eastAsia="仿宋_GB2312" w:cs="仿宋_GB2312"/>
          <w:spacing w:val="-6"/>
          <w:sz w:val="32"/>
          <w:szCs w:val="32"/>
          <w:highlight w:val="none"/>
          <w:lang w:val="en-US" w:eastAsia="zh-CN"/>
        </w:rPr>
        <w:t>各项建设指标</w:t>
      </w:r>
      <w:r>
        <w:rPr>
          <w:rFonts w:hint="default" w:ascii="Times New Roman" w:hAnsi="Times New Roman" w:eastAsia="仿宋_GB2312" w:cs="仿宋_GB2312"/>
          <w:spacing w:val="-6"/>
          <w:sz w:val="32"/>
          <w:szCs w:val="32"/>
          <w:highlight w:val="none"/>
          <w:lang w:val="en-US" w:eastAsia="zh-CN"/>
        </w:rPr>
        <w:t>年度实测数据、统计台账、佐证材料，完善指标数值，同步梳理布托湖湿地保护、草原修复、农牧区</w:t>
      </w:r>
      <w:r>
        <w:rPr>
          <w:rFonts w:hint="eastAsia" w:ascii="Times New Roman" w:hAnsi="Times New Roman" w:eastAsia="仿宋_GB2312" w:cs="仿宋_GB2312"/>
          <w:spacing w:val="-6"/>
          <w:sz w:val="32"/>
          <w:szCs w:val="32"/>
          <w:highlight w:val="none"/>
          <w:lang w:val="en-US" w:eastAsia="zh-CN"/>
        </w:rPr>
        <w:t>生活污水</w:t>
      </w:r>
      <w:r>
        <w:rPr>
          <w:rFonts w:hint="default" w:ascii="Times New Roman" w:hAnsi="Times New Roman" w:eastAsia="仿宋_GB2312" w:cs="仿宋_GB2312"/>
          <w:spacing w:val="-6"/>
          <w:sz w:val="32"/>
          <w:szCs w:val="32"/>
          <w:highlight w:val="none"/>
          <w:lang w:val="en-US" w:eastAsia="zh-CN"/>
        </w:rPr>
        <w:t>治理、绿色农牧发展等特色建设成效资料，严格按照时限在国家生态文明建设示范区管理平台完成数据录入，</w:t>
      </w:r>
      <w:r>
        <w:rPr>
          <w:rFonts w:hint="eastAsia" w:ascii="Times New Roman" w:hAnsi="Times New Roman" w:eastAsia="仿宋_GB2312" w:cs="仿宋_GB2312"/>
          <w:spacing w:val="-6"/>
          <w:sz w:val="32"/>
          <w:szCs w:val="32"/>
          <w:highlight w:val="none"/>
          <w:lang w:val="en-US" w:eastAsia="zh-CN"/>
        </w:rPr>
        <w:t>完善</w:t>
      </w:r>
      <w:r>
        <w:rPr>
          <w:rFonts w:hint="default" w:ascii="Times New Roman" w:hAnsi="Times New Roman" w:eastAsia="仿宋_GB2312" w:cs="仿宋_GB2312"/>
          <w:spacing w:val="-6"/>
          <w:sz w:val="32"/>
          <w:szCs w:val="32"/>
          <w:highlight w:val="none"/>
          <w:lang w:val="en-US" w:eastAsia="zh-CN"/>
        </w:rPr>
        <w:t>年度建设工作总结，持续夯实示范区动态监管台账，确保上报数据真实规范、内容完整闭环，精准客观反映全县年度生态文明建设实际成效，助力示范区常态化监管与动态复核工作落地</w:t>
      </w:r>
      <w:r>
        <w:rPr>
          <w:rFonts w:hint="eastAsia" w:ascii="Times New Roman" w:hAnsi="Times New Roman" w:eastAsia="仿宋_GB2312" w:cs="仿宋_GB2312"/>
          <w:spacing w:val="-6"/>
          <w:sz w:val="32"/>
          <w:szCs w:val="32"/>
          <w:highlight w:val="none"/>
          <w:lang w:val="en-US" w:eastAsia="zh-CN"/>
        </w:rPr>
        <w:t>。</w:t>
      </w:r>
    </w:p>
    <w:p w14:paraId="76940028">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highlight w:val="none"/>
          <w:lang w:val="en-US" w:eastAsia="zh-CN"/>
        </w:rPr>
      </w:pPr>
      <w:bookmarkStart w:id="49" w:name="_Toc26711"/>
      <w:bookmarkStart w:id="50" w:name="_Toc20409"/>
      <w:bookmarkStart w:id="51" w:name="_Toc7423"/>
      <w:r>
        <w:rPr>
          <w:rFonts w:hint="eastAsia" w:ascii="楷体" w:hAnsi="楷体" w:eastAsia="楷体" w:cs="楷体"/>
          <w:sz w:val="32"/>
          <w:szCs w:val="32"/>
          <w:highlight w:val="none"/>
          <w:lang w:val="en-US" w:eastAsia="zh-CN"/>
        </w:rPr>
        <w:t>（三）推动生态产品价值</w:t>
      </w:r>
      <w:bookmarkEnd w:id="49"/>
      <w:bookmarkEnd w:id="50"/>
      <w:r>
        <w:rPr>
          <w:rFonts w:hint="eastAsia" w:ascii="楷体" w:hAnsi="楷体" w:eastAsia="楷体" w:cs="楷体"/>
          <w:sz w:val="32"/>
          <w:szCs w:val="32"/>
          <w:highlight w:val="none"/>
          <w:lang w:val="en-US" w:eastAsia="zh-CN"/>
        </w:rPr>
        <w:t>转化</w:t>
      </w:r>
      <w:bookmarkEnd w:id="51"/>
    </w:p>
    <w:p w14:paraId="0DDA01EE">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仿宋_GB2312"/>
          <w:spacing w:val="-6"/>
          <w:sz w:val="32"/>
          <w:szCs w:val="32"/>
          <w:lang w:val="en"/>
        </w:rPr>
      </w:pPr>
      <w:r>
        <w:rPr>
          <w:rFonts w:hint="eastAsia" w:ascii="Times New Roman" w:hAnsi="Times New Roman" w:eastAsia="仿宋_GB2312" w:cs="仿宋_GB2312"/>
          <w:b/>
          <w:bCs/>
          <w:spacing w:val="0"/>
          <w:sz w:val="32"/>
          <w:szCs w:val="32"/>
          <w:lang w:val="en"/>
        </w:rPr>
        <w:t>探索生态产品价值实现路径</w:t>
      </w:r>
      <w:r>
        <w:rPr>
          <w:rFonts w:hint="eastAsia" w:ascii="Times New Roman" w:hAnsi="Times New Roman" w:eastAsia="仿宋_GB2312" w:cs="仿宋_GB2312"/>
          <w:b/>
          <w:bCs/>
          <w:spacing w:val="0"/>
          <w:sz w:val="32"/>
          <w:szCs w:val="32"/>
          <w:lang w:val="en" w:eastAsia="zh-CN"/>
        </w:rPr>
        <w:t>。</w:t>
      </w:r>
      <w:r>
        <w:rPr>
          <w:rFonts w:hint="eastAsia" w:ascii="Times New Roman" w:hAnsi="Times New Roman" w:eastAsia="仿宋_GB2312" w:cs="仿宋_GB2312"/>
          <w:spacing w:val="-6"/>
          <w:sz w:val="32"/>
          <w:szCs w:val="32"/>
          <w:lang w:val="en" w:eastAsia="zh-CN"/>
        </w:rPr>
        <w:t>立足高原生态与特色人文资源禀赋，以文旅产业化落地打通生态产品价值转化路径。深化跨区域协同联动，加强同类乌齐、洛隆、边坝及那曲、玉树毗邻区域生态文旅协作，整合沿线山水生态、历史人文资源，联合打造“唐蕃古道文化游”“高原生态自驾游”精品线路，推动客源互通、资源共建、收益共享。深挖丁青热巴非遗、象雄历史文化底蕴，依托布加雪山冰川、布托湖湿地、高原草场等优质生态资源，聚力培育“天穹孜珠热巴故里”区域特色文旅品牌。</w:t>
      </w:r>
      <w:r>
        <w:rPr>
          <w:rFonts w:hint="eastAsia" w:ascii="Times New Roman" w:hAnsi="Times New Roman" w:eastAsia="仿宋_GB2312" w:cs="仿宋_GB2312"/>
          <w:spacing w:val="-6"/>
          <w:sz w:val="32"/>
          <w:szCs w:val="32"/>
          <w:lang w:val="en-US" w:eastAsia="zh-CN"/>
        </w:rPr>
        <w:t>适度开发林业资源。探索非保护区在不破坏生态功能的前提下适度发展绿化苗木、特色经济林、林下种植、养殖及中草药采集等产业，提高林业经济价值。</w:t>
      </w:r>
      <w:r>
        <w:rPr>
          <w:rFonts w:hint="eastAsia" w:ascii="Times New Roman" w:hAnsi="Times New Roman" w:eastAsia="仿宋_GB2312" w:cs="仿宋_GB2312"/>
          <w:spacing w:val="-6"/>
          <w:sz w:val="32"/>
          <w:szCs w:val="32"/>
          <w:lang w:val="en" w:eastAsia="zh-CN"/>
        </w:rPr>
        <w:t>将优质森林、草原、湿地、冰川等生态资源优势稳步转化为经济收益，拓宽生态产品市场化变现渠道。</w:t>
      </w:r>
    </w:p>
    <w:p w14:paraId="4ADE15E5">
      <w:pPr>
        <w:keepNext w:val="0"/>
        <w:keepLines w:val="0"/>
        <w:pageBreakBefore w:val="0"/>
        <w:widowControl w:val="0"/>
        <w:kinsoku/>
        <w:wordWrap/>
        <w:overflowPunct/>
        <w:topLinePunct w:val="0"/>
        <w:autoSpaceDE/>
        <w:autoSpaceDN/>
        <w:bidi w:val="0"/>
        <w:snapToGrid/>
        <w:spacing w:line="576" w:lineRule="exact"/>
        <w:ind w:firstLine="643"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0"/>
          <w:sz w:val="32"/>
          <w:szCs w:val="32"/>
          <w:lang w:val="en-US" w:eastAsia="zh-CN"/>
        </w:rPr>
        <w:t>落实生态保护补偿制度。</w:t>
      </w:r>
      <w:r>
        <w:rPr>
          <w:rFonts w:hint="eastAsia" w:ascii="Times New Roman" w:hAnsi="Times New Roman" w:eastAsia="仿宋_GB2312" w:cs="仿宋_GB2312"/>
          <w:spacing w:val="0"/>
          <w:sz w:val="32"/>
          <w:szCs w:val="32"/>
          <w:lang w:val="en-US" w:eastAsia="zh-CN"/>
        </w:rPr>
        <w:t>探索多元化生态补偿机制，推进生</w:t>
      </w:r>
      <w:r>
        <w:rPr>
          <w:rFonts w:hint="eastAsia" w:ascii="Times New Roman" w:hAnsi="Times New Roman" w:eastAsia="仿宋_GB2312" w:cs="仿宋_GB2312"/>
          <w:b w:val="0"/>
          <w:bCs w:val="0"/>
          <w:spacing w:val="-6"/>
          <w:sz w:val="32"/>
          <w:szCs w:val="32"/>
          <w:lang w:val="en-US" w:eastAsia="zh-CN"/>
        </w:rPr>
        <w:t>态产品价值实现机制工作。强化森林、湿地、草原、水生态、荒漠、耕地、野生动物肇事补偿、水土保持等各类生态补偿资金使用规范化管理，健全资金全流程管理制度，提升各类生态补偿资金使用效益，充分发挥资金在生态保护修复、生态惠民利民中的核心支撑作用。</w:t>
      </w:r>
      <w:r>
        <w:rPr>
          <w:rFonts w:hint="eastAsia" w:ascii="Times New Roman" w:hAnsi="Times New Roman" w:eastAsia="仿宋_GB2312" w:cs="仿宋_GB2312"/>
          <w:b w:val="0"/>
          <w:bCs w:val="0"/>
          <w:spacing w:val="-6"/>
          <w:sz w:val="32"/>
          <w:szCs w:val="32"/>
          <w:lang w:val="en"/>
        </w:rPr>
        <w:t>严格落实</w:t>
      </w:r>
      <w:r>
        <w:rPr>
          <w:rFonts w:hint="eastAsia" w:ascii="Times New Roman" w:hAnsi="Times New Roman" w:eastAsia="仿宋_GB2312" w:cs="仿宋_GB2312"/>
          <w:b w:val="0"/>
          <w:bCs w:val="0"/>
          <w:spacing w:val="-6"/>
          <w:sz w:val="32"/>
          <w:szCs w:val="32"/>
          <w:lang w:val="en-US" w:eastAsia="zh-CN"/>
        </w:rPr>
        <w:t>自治区、昌都市</w:t>
      </w:r>
      <w:r>
        <w:rPr>
          <w:rFonts w:hint="eastAsia" w:ascii="Times New Roman" w:hAnsi="Times New Roman" w:eastAsia="仿宋_GB2312" w:cs="仿宋_GB2312"/>
          <w:b w:val="0"/>
          <w:bCs w:val="0"/>
          <w:spacing w:val="-6"/>
          <w:sz w:val="32"/>
          <w:szCs w:val="32"/>
          <w:lang w:val="en"/>
        </w:rPr>
        <w:t>生态岗位管理制度，</w:t>
      </w:r>
      <w:r>
        <w:rPr>
          <w:rFonts w:hint="eastAsia" w:ascii="Times New Roman" w:hAnsi="Times New Roman" w:eastAsia="仿宋_GB2312" w:cs="仿宋_GB2312"/>
          <w:b w:val="0"/>
          <w:bCs w:val="0"/>
          <w:spacing w:val="-6"/>
          <w:sz w:val="32"/>
          <w:szCs w:val="32"/>
          <w:lang w:val="en-US" w:eastAsia="zh-CN"/>
        </w:rPr>
        <w:t>规范生态岗位队伍管理和资金补助发放秩序，有序开展年度生态岗位人员公开遴选、资格审核、公示上岗等各项工作，严格按照政策标准足额、及时兑现生态岗位补助资金。</w:t>
      </w:r>
    </w:p>
    <w:p w14:paraId="23B2A75F">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52" w:name="_Toc18648"/>
      <w:r>
        <w:rPr>
          <w:rFonts w:hint="eastAsia" w:ascii="黑体" w:hAnsi="黑体" w:eastAsia="黑体" w:cs="黑体"/>
          <w:b w:val="0"/>
          <w:bCs w:val="0"/>
          <w:color w:val="auto"/>
          <w:sz w:val="32"/>
          <w:szCs w:val="32"/>
          <w:highlight w:val="none"/>
          <w:lang w:val="en-US" w:eastAsia="zh-CN" w:bidi="ar-SA"/>
        </w:rPr>
        <w:t>五、建设现代化美丽丁青</w:t>
      </w:r>
      <w:bookmarkEnd w:id="52"/>
    </w:p>
    <w:p w14:paraId="70F66F5F">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53" w:name="_Toc8267"/>
      <w:bookmarkStart w:id="54" w:name="_Toc8587"/>
      <w:bookmarkStart w:id="55" w:name="_Toc6800"/>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一）</w:t>
      </w:r>
      <w:bookmarkEnd w:id="53"/>
      <w:bookmarkEnd w:id="54"/>
      <w:r>
        <w:rPr>
          <w:rFonts w:hint="eastAsia" w:ascii="楷体" w:hAnsi="楷体" w:eastAsia="楷体" w:cs="楷体"/>
          <w:sz w:val="32"/>
          <w:szCs w:val="32"/>
          <w:lang w:val="en-US" w:eastAsia="zh-CN"/>
        </w:rPr>
        <w:t>打造生态</w:t>
      </w:r>
      <w:r>
        <w:rPr>
          <w:rFonts w:hint="eastAsia" w:ascii="楷体" w:hAnsi="楷体" w:eastAsia="楷体" w:cs="楷体"/>
          <w:sz w:val="32"/>
          <w:szCs w:val="32"/>
          <w:lang w:val="en" w:eastAsia="zh-CN"/>
        </w:rPr>
        <w:t>宜居</w:t>
      </w:r>
      <w:r>
        <w:rPr>
          <w:rFonts w:hint="eastAsia" w:ascii="楷体" w:hAnsi="楷体" w:eastAsia="楷体" w:cs="楷体"/>
          <w:sz w:val="32"/>
          <w:szCs w:val="32"/>
          <w:lang w:val="en-US" w:eastAsia="zh-CN"/>
        </w:rPr>
        <w:t>美丽县城</w:t>
      </w:r>
      <w:bookmarkEnd w:id="55"/>
    </w:p>
    <w:p w14:paraId="641E4EB5">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b w:val="0"/>
          <w:bCs w:val="0"/>
          <w:spacing w:val="-6"/>
          <w:sz w:val="32"/>
          <w:szCs w:val="32"/>
          <w:lang w:val="en"/>
        </w:rPr>
      </w:pPr>
      <w:r>
        <w:rPr>
          <w:rFonts w:hint="eastAsia" w:ascii="Times New Roman" w:hAnsi="Times New Roman" w:eastAsia="仿宋_GB2312" w:cs="仿宋_GB2312"/>
          <w:b/>
          <w:bCs/>
          <w:spacing w:val="-6"/>
          <w:sz w:val="32"/>
          <w:szCs w:val="32"/>
          <w:lang w:val="en-US" w:eastAsia="zh-CN"/>
        </w:rPr>
        <w:t>有序推进县城扩容与更新改造。</w:t>
      </w:r>
      <w:r>
        <w:rPr>
          <w:rFonts w:hint="eastAsia" w:ascii="Times New Roman" w:hAnsi="Times New Roman" w:eastAsia="仿宋_GB2312" w:cs="仿宋_GB2312"/>
          <w:b w:val="0"/>
          <w:bCs w:val="0"/>
          <w:spacing w:val="-6"/>
          <w:sz w:val="32"/>
          <w:szCs w:val="32"/>
          <w:lang w:val="en"/>
        </w:rPr>
        <w:t>紧扣以县城为重要载体的新型城镇化建设导向，推进老城区重点片区更新改造，优化县城空间布局、完善城市核心功能。整合供水、排水、电力等市政管线资源，根治“马路拉链”问题，统筹推进县城核心区域综合管廊建设，完善县域路网系统，精准破解雨污混流、停车难等民生痛点。持续补齐社区公共服务设施短板，重点打造“一老一小”优质服务场景，优化提升养老托育服务场所，加快建设完整社区，构建县域“15分钟便民生活圈”。</w:t>
      </w:r>
    </w:p>
    <w:p w14:paraId="26599BBA">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b w:val="0"/>
          <w:bCs w:val="0"/>
          <w:spacing w:val="-6"/>
          <w:kern w:val="2"/>
          <w:sz w:val="32"/>
          <w:szCs w:val="32"/>
          <w:lang w:val="en" w:bidi="ar"/>
        </w:rPr>
      </w:pPr>
      <w:r>
        <w:rPr>
          <w:rFonts w:hint="eastAsia" w:ascii="Times New Roman" w:hAnsi="Times New Roman" w:eastAsia="仿宋_GB2312" w:cs="仿宋_GB2312"/>
          <w:b/>
          <w:bCs/>
          <w:spacing w:val="-6"/>
          <w:sz w:val="32"/>
          <w:szCs w:val="32"/>
          <w:lang w:val="en"/>
        </w:rPr>
        <w:t>加快宜居韧性高原县城打造</w:t>
      </w:r>
      <w:r>
        <w:rPr>
          <w:rFonts w:hint="eastAsia" w:ascii="Times New Roman" w:hAnsi="Times New Roman" w:eastAsia="仿宋_GB2312" w:cs="仿宋_GB2312"/>
          <w:b/>
          <w:bCs/>
          <w:spacing w:val="-6"/>
          <w:sz w:val="32"/>
          <w:szCs w:val="32"/>
          <w:lang w:val="en" w:eastAsia="zh-CN"/>
        </w:rPr>
        <w:t>。</w:t>
      </w:r>
      <w:r>
        <w:rPr>
          <w:rFonts w:hint="eastAsia" w:ascii="Times New Roman" w:hAnsi="Times New Roman" w:eastAsia="仿宋_GB2312" w:cs="仿宋_GB2312"/>
          <w:b w:val="0"/>
          <w:bCs w:val="0"/>
          <w:spacing w:val="-6"/>
          <w:sz w:val="32"/>
          <w:szCs w:val="32"/>
          <w:lang w:val="en"/>
        </w:rPr>
        <w:t>立足高原县域气候特点，因地制宜推进县城集中供暖、供氧工程建设，切实提升居民生活品质。配套建设城市慢行交通系统、公共停车场及充电基础设施，推动实施县城城市照明智能化、节能化改造，打造宜居宜业的高原县城环境。稳步推进韧性县城建设，以集约化地下空间利用提升县城韧性与综合承载能力，构建全天候、系统性的城市安全运行保障体系，增强市政基础设施抗灾能力和快速恢复能力。完善县域住房供应体系，严把住房建设质量关，持续打造宜居“好房子”“好小区”，夯实新型城镇化建设基础。</w:t>
      </w:r>
    </w:p>
    <w:p w14:paraId="41786155">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56" w:name="_Toc10309"/>
      <w:bookmarkStart w:id="57" w:name="_Toc31327"/>
      <w:bookmarkStart w:id="58" w:name="_Toc31117"/>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二）深入</w:t>
      </w:r>
      <w:r>
        <w:rPr>
          <w:rFonts w:hint="eastAsia" w:ascii="楷体" w:hAnsi="楷体" w:eastAsia="楷体" w:cs="楷体"/>
          <w:sz w:val="32"/>
          <w:szCs w:val="32"/>
          <w:lang w:val="en" w:eastAsia="zh-CN"/>
        </w:rPr>
        <w:t>推进“美丽</w:t>
      </w:r>
      <w:r>
        <w:rPr>
          <w:rFonts w:hint="eastAsia" w:ascii="楷体" w:hAnsi="楷体" w:eastAsia="楷体" w:cs="楷体"/>
          <w:sz w:val="32"/>
          <w:szCs w:val="32"/>
          <w:lang w:val="en-US" w:eastAsia="zh-CN"/>
        </w:rPr>
        <w:t>系列</w:t>
      </w:r>
      <w:r>
        <w:rPr>
          <w:rFonts w:hint="eastAsia" w:ascii="楷体" w:hAnsi="楷体" w:eastAsia="楷体" w:cs="楷体"/>
          <w:sz w:val="32"/>
          <w:szCs w:val="32"/>
          <w:lang w:val="en" w:eastAsia="zh-CN"/>
        </w:rPr>
        <w:t>”建设</w:t>
      </w:r>
      <w:bookmarkEnd w:id="56"/>
      <w:bookmarkEnd w:id="57"/>
      <w:bookmarkEnd w:id="58"/>
    </w:p>
    <w:p w14:paraId="5DAC9051">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eastAsia" w:ascii="Times New Roman" w:hAnsi="Times New Roman" w:eastAsia="仿宋_GB2312" w:cs="仿宋_GB2312"/>
          <w:b/>
          <w:bCs/>
          <w:spacing w:val="-6"/>
          <w:sz w:val="32"/>
          <w:szCs w:val="32"/>
          <w:highlight w:val="none"/>
          <w:lang w:val="en" w:eastAsia="zh-CN"/>
        </w:rPr>
      </w:pPr>
      <w:bookmarkStart w:id="59" w:name="_Toc1878"/>
      <w:bookmarkStart w:id="60" w:name="_Toc15333"/>
      <w:r>
        <w:rPr>
          <w:rFonts w:hint="eastAsia" w:ascii="Times New Roman" w:hAnsi="Times New Roman" w:eastAsia="仿宋_GB2312" w:cs="仿宋_GB2312"/>
          <w:b/>
          <w:bCs/>
          <w:spacing w:val="-6"/>
          <w:kern w:val="2"/>
          <w:sz w:val="32"/>
          <w:szCs w:val="32"/>
          <w:lang w:val="en" w:eastAsia="zh-CN" w:bidi="ar"/>
        </w:rPr>
        <w:t>整县推进美丽乡村</w:t>
      </w:r>
      <w:r>
        <w:rPr>
          <w:rFonts w:hint="eastAsia" w:ascii="Times New Roman" w:hAnsi="Times New Roman" w:eastAsia="仿宋_GB2312" w:cs="仿宋_GB2312"/>
          <w:b/>
          <w:bCs/>
          <w:spacing w:val="-6"/>
          <w:kern w:val="2"/>
          <w:sz w:val="32"/>
          <w:szCs w:val="32"/>
          <w:lang w:val="en-US" w:eastAsia="zh-CN" w:bidi="ar"/>
        </w:rPr>
        <w:t>建设。</w:t>
      </w:r>
      <w:r>
        <w:rPr>
          <w:rFonts w:hint="eastAsia" w:ascii="Times New Roman" w:hAnsi="Times New Roman" w:eastAsia="仿宋_GB2312" w:cs="仿宋_GB2312"/>
          <w:b w:val="0"/>
          <w:bCs w:val="0"/>
          <w:spacing w:val="-6"/>
          <w:kern w:val="2"/>
          <w:sz w:val="32"/>
          <w:szCs w:val="32"/>
          <w:lang w:val="en" w:eastAsia="zh-CN" w:bidi="ar"/>
        </w:rPr>
        <w:t>学习运用“千万工程”经验，按照地域相邻、产业相近、优势互补的原则，通过统一规划、资源整合、共建共享等方式，结合农牧区“六改”和乡村“四化”工作，完善乡村建设实施机制，分年度、分步骤、梯次化推进乡村振兴，稳步有序推进宜居宜业和美乡村建设，</w:t>
      </w:r>
      <w:r>
        <w:rPr>
          <w:rFonts w:hint="eastAsia" w:ascii="Times New Roman" w:hAnsi="Times New Roman" w:eastAsia="仿宋_GB2312" w:cs="仿宋_GB2312"/>
          <w:b w:val="0"/>
          <w:bCs w:val="0"/>
          <w:spacing w:val="-6"/>
          <w:kern w:val="2"/>
          <w:sz w:val="32"/>
          <w:szCs w:val="32"/>
          <w:lang w:val="en-US" w:eastAsia="zh-CN" w:bidi="ar"/>
        </w:rPr>
        <w:t>建设一批</w:t>
      </w:r>
      <w:r>
        <w:rPr>
          <w:rFonts w:hint="eastAsia" w:ascii="Times New Roman" w:hAnsi="Times New Roman" w:eastAsia="仿宋_GB2312" w:cs="仿宋_GB2312"/>
          <w:b w:val="0"/>
          <w:bCs w:val="0"/>
          <w:spacing w:val="-6"/>
          <w:kern w:val="2"/>
          <w:sz w:val="32"/>
          <w:szCs w:val="32"/>
          <w:lang w:val="en" w:eastAsia="zh-CN" w:bidi="ar"/>
        </w:rPr>
        <w:t>高原宜居宜业和美乡村。深入实施农村环境综合整治行动，纵深推进智能生态环卫一体化治理，全面构建全域覆盖、高效协同、智慧精准、长效治理的农村人居环境治理体系，着力破解农村生活垃圾治理难题，推动农村人居环境发生革命性变化，实现长效化治理。加力推进村庄清洁行动，分类开展农村生活污水治理，改善户用厕所及配套集中污水处理设施，基本消除较大面积黑臭水体，</w:t>
      </w:r>
      <w:r>
        <w:rPr>
          <w:rFonts w:hint="eastAsia" w:ascii="Times New Roman" w:hAnsi="Times New Roman" w:eastAsia="仿宋_GB2312" w:cs="仿宋_GB2312"/>
          <w:b w:val="0"/>
          <w:bCs w:val="0"/>
          <w:spacing w:val="-6"/>
          <w:kern w:val="2"/>
          <w:sz w:val="32"/>
          <w:szCs w:val="32"/>
          <w:lang w:val="en-US" w:eastAsia="zh-CN" w:bidi="ar"/>
        </w:rPr>
        <w:t>力争2027年建成自治区美丽乡村。</w:t>
      </w:r>
    </w:p>
    <w:p w14:paraId="0CDBD542">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b w:val="0"/>
          <w:bCs w:val="0"/>
          <w:spacing w:val="-6"/>
          <w:sz w:val="32"/>
          <w:szCs w:val="32"/>
          <w:highlight w:val="none"/>
          <w:lang w:val="en-US" w:eastAsia="zh-CN"/>
        </w:rPr>
      </w:pPr>
      <w:r>
        <w:rPr>
          <w:rFonts w:hint="eastAsia" w:ascii="Times New Roman" w:hAnsi="Times New Roman" w:eastAsia="仿宋_GB2312" w:cs="仿宋_GB2312"/>
          <w:b/>
          <w:bCs/>
          <w:spacing w:val="-6"/>
          <w:sz w:val="32"/>
          <w:szCs w:val="32"/>
          <w:highlight w:val="none"/>
          <w:lang w:val="en" w:eastAsia="zh-CN"/>
        </w:rPr>
        <w:t>推进美丽河湖建设。</w:t>
      </w:r>
      <w:r>
        <w:rPr>
          <w:rFonts w:hint="eastAsia" w:ascii="Times New Roman" w:hAnsi="Times New Roman" w:eastAsia="仿宋_GB2312" w:cs="仿宋_GB2312"/>
          <w:b w:val="0"/>
          <w:bCs w:val="0"/>
          <w:spacing w:val="-6"/>
          <w:sz w:val="32"/>
          <w:szCs w:val="32"/>
          <w:highlight w:val="none"/>
          <w:lang w:val="en" w:eastAsia="zh-CN"/>
        </w:rPr>
        <w:t>严格落实水域岸线、生态缓冲带等水生态空间管控要求，</w:t>
      </w:r>
      <w:r>
        <w:rPr>
          <w:rFonts w:hint="eastAsia" w:ascii="Times New Roman" w:hAnsi="Times New Roman" w:eastAsia="仿宋_GB2312" w:cs="仿宋_GB2312"/>
          <w:b w:val="0"/>
          <w:bCs w:val="0"/>
          <w:spacing w:val="-6"/>
          <w:sz w:val="32"/>
          <w:szCs w:val="32"/>
          <w:highlight w:val="none"/>
          <w:lang w:val="en" w:eastAsia="zh-CN" w:bidi="ar"/>
        </w:rPr>
        <w:t>依法</w:t>
      </w:r>
      <w:r>
        <w:rPr>
          <w:rFonts w:hint="eastAsia" w:ascii="Times New Roman" w:hAnsi="Times New Roman" w:eastAsia="仿宋_GB2312" w:cs="仿宋_GB2312"/>
          <w:b w:val="0"/>
          <w:bCs w:val="0"/>
          <w:spacing w:val="-6"/>
          <w:sz w:val="32"/>
          <w:szCs w:val="32"/>
          <w:highlight w:val="none"/>
          <w:lang w:val="en" w:eastAsia="zh-CN"/>
        </w:rPr>
        <w:t>划定并严格执行河湖管理范围，清理整治各类破坏水生态环境的人为活动。全面</w:t>
      </w:r>
      <w:r>
        <w:rPr>
          <w:rFonts w:hint="eastAsia" w:ascii="Times New Roman" w:hAnsi="Times New Roman" w:eastAsia="仿宋_GB2312" w:cs="仿宋_GB2312"/>
          <w:spacing w:val="-6"/>
          <w:sz w:val="32"/>
          <w:szCs w:val="32"/>
          <w:highlight w:val="none"/>
          <w:lang w:val="en" w:eastAsia="zh-CN"/>
        </w:rPr>
        <w:t>推进美丽河湖、美丽湿地、</w:t>
      </w:r>
      <w:r>
        <w:rPr>
          <w:rFonts w:hint="eastAsia" w:ascii="Times New Roman" w:hAnsi="Times New Roman" w:eastAsia="仿宋_GB2312" w:cs="仿宋_GB2312"/>
          <w:spacing w:val="-6"/>
          <w:kern w:val="2"/>
          <w:sz w:val="32"/>
          <w:szCs w:val="32"/>
          <w:highlight w:val="none"/>
          <w:lang w:val="en" w:eastAsia="zh-CN" w:bidi="ar"/>
        </w:rPr>
        <w:t>幸福河湖</w:t>
      </w:r>
      <w:r>
        <w:rPr>
          <w:rFonts w:hint="eastAsia" w:ascii="Times New Roman" w:hAnsi="Times New Roman" w:eastAsia="仿宋_GB2312" w:cs="仿宋_GB2312"/>
          <w:spacing w:val="-6"/>
          <w:sz w:val="32"/>
          <w:szCs w:val="32"/>
          <w:highlight w:val="none"/>
          <w:lang w:val="en" w:eastAsia="zh-CN"/>
        </w:rPr>
        <w:t>建设，</w:t>
      </w:r>
      <w:r>
        <w:rPr>
          <w:rFonts w:hint="eastAsia" w:ascii="Times New Roman" w:hAnsi="Times New Roman" w:eastAsia="仿宋_GB2312" w:cs="仿宋_GB2312"/>
          <w:b w:val="0"/>
          <w:bCs w:val="0"/>
          <w:spacing w:val="-6"/>
          <w:sz w:val="32"/>
          <w:szCs w:val="32"/>
          <w:highlight w:val="none"/>
          <w:lang w:val="en" w:eastAsia="zh-CN"/>
        </w:rPr>
        <w:t>组织实施河湖</w:t>
      </w:r>
      <w:r>
        <w:rPr>
          <w:rFonts w:hint="eastAsia" w:ascii="Times New Roman" w:hAnsi="Times New Roman" w:eastAsia="仿宋_GB2312" w:cs="仿宋_GB2312"/>
          <w:b w:val="0"/>
          <w:bCs w:val="0"/>
          <w:spacing w:val="-6"/>
          <w:sz w:val="32"/>
          <w:szCs w:val="32"/>
          <w:highlight w:val="none"/>
          <w:lang w:val="en-US" w:eastAsia="zh-CN"/>
        </w:rPr>
        <w:t>河道、</w:t>
      </w:r>
      <w:r>
        <w:rPr>
          <w:rFonts w:hint="eastAsia" w:ascii="Times New Roman" w:hAnsi="Times New Roman" w:eastAsia="仿宋_GB2312" w:cs="仿宋_GB2312"/>
          <w:b w:val="0"/>
          <w:bCs w:val="0"/>
          <w:spacing w:val="-6"/>
          <w:sz w:val="32"/>
          <w:szCs w:val="32"/>
          <w:highlight w:val="none"/>
          <w:lang w:val="en" w:eastAsia="zh-CN"/>
        </w:rPr>
        <w:t>岸线生态修复工程，通过护岸建设、水环境治理、生态缓冲带构建、湿地恢复与建设等措施，有效维护河流生态廊道功能，提升河湖水生态</w:t>
      </w:r>
      <w:r>
        <w:rPr>
          <w:rFonts w:hint="eastAsia" w:ascii="Times New Roman" w:hAnsi="Times New Roman" w:eastAsia="仿宋_GB2312" w:cs="仿宋_GB2312"/>
          <w:spacing w:val="-6"/>
          <w:sz w:val="32"/>
          <w:szCs w:val="32"/>
          <w:highlight w:val="none"/>
          <w:lang w:val="en" w:eastAsia="zh-CN"/>
        </w:rPr>
        <w:t>环境质量</w:t>
      </w:r>
      <w:r>
        <w:rPr>
          <w:rFonts w:hint="eastAsia" w:ascii="Times New Roman" w:hAnsi="Times New Roman" w:eastAsia="仿宋_GB2312" w:cs="仿宋_GB2312"/>
          <w:b w:val="0"/>
          <w:bCs w:val="0"/>
          <w:spacing w:val="-6"/>
          <w:sz w:val="32"/>
          <w:szCs w:val="32"/>
          <w:highlight w:val="none"/>
          <w:lang w:val="en" w:eastAsia="zh-CN"/>
        </w:rPr>
        <w:t>及水生物多样性水平，</w:t>
      </w:r>
      <w:r>
        <w:rPr>
          <w:rFonts w:hint="eastAsia" w:ascii="Times New Roman" w:hAnsi="Times New Roman" w:eastAsia="仿宋_GB2312" w:cs="仿宋_GB2312"/>
          <w:spacing w:val="-6"/>
          <w:sz w:val="32"/>
          <w:szCs w:val="32"/>
          <w:highlight w:val="none"/>
          <w:lang w:val="en" w:eastAsia="zh-CN"/>
        </w:rPr>
        <w:t>打造一批具有示范效应的美丽河湖、美丽湿地与</w:t>
      </w:r>
      <w:r>
        <w:rPr>
          <w:rFonts w:hint="eastAsia" w:ascii="Times New Roman" w:hAnsi="Times New Roman" w:eastAsia="仿宋_GB2312" w:cs="仿宋_GB2312"/>
          <w:spacing w:val="-6"/>
          <w:kern w:val="2"/>
          <w:sz w:val="32"/>
          <w:szCs w:val="32"/>
          <w:highlight w:val="none"/>
          <w:lang w:val="en" w:eastAsia="zh-CN" w:bidi="ar"/>
        </w:rPr>
        <w:t>幸福河湖</w:t>
      </w:r>
      <w:r>
        <w:rPr>
          <w:rFonts w:hint="eastAsia" w:ascii="Times New Roman" w:hAnsi="Times New Roman" w:eastAsia="仿宋_GB2312" w:cs="仿宋_GB2312"/>
          <w:b w:val="0"/>
          <w:bCs w:val="0"/>
          <w:spacing w:val="-6"/>
          <w:sz w:val="32"/>
          <w:szCs w:val="32"/>
          <w:highlight w:val="none"/>
          <w:lang w:val="en" w:eastAsia="zh-CN"/>
        </w:rPr>
        <w:t>，</w:t>
      </w:r>
      <w:r>
        <w:rPr>
          <w:rFonts w:hint="eastAsia" w:ascii="Times New Roman" w:hAnsi="Times New Roman" w:eastAsia="仿宋_GB2312" w:cs="仿宋_GB2312"/>
          <w:b w:val="0"/>
          <w:bCs w:val="0"/>
          <w:spacing w:val="-6"/>
          <w:sz w:val="32"/>
          <w:szCs w:val="32"/>
          <w:highlight w:val="none"/>
          <w:lang w:val="en-US" w:eastAsia="zh-CN"/>
        </w:rPr>
        <w:t>到2030年，建成雍达曲-卸曲幸福河湖。</w:t>
      </w:r>
    </w:p>
    <w:p w14:paraId="0173A4C7">
      <w:pPr>
        <w:pStyle w:val="2"/>
        <w:rPr>
          <w:rFonts w:hint="default"/>
          <w:lang w:val="en-US" w:eastAsia="zh-CN"/>
        </w:rPr>
      </w:pPr>
    </w:p>
    <w:bookmarkEnd w:id="59"/>
    <w:bookmarkEnd w:id="60"/>
    <w:p w14:paraId="60F51C2B">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61" w:name="_Toc11793"/>
      <w:bookmarkStart w:id="62" w:name="_Toc14890"/>
      <w:r>
        <w:rPr>
          <w:rFonts w:hint="eastAsia" w:ascii="方正小标宋简体" w:hAnsi="方正小标宋简体" w:eastAsia="方正小标宋简体" w:cs="方正小标宋简体"/>
          <w:sz w:val="32"/>
          <w:szCs w:val="32"/>
          <w:lang w:val="en-US" w:eastAsia="zh-CN"/>
        </w:rPr>
        <w:t xml:space="preserve"> </w:t>
      </w:r>
      <w:bookmarkEnd w:id="61"/>
      <w:bookmarkEnd w:id="62"/>
      <w:bookmarkStart w:id="63" w:name="_Toc9307"/>
      <w:r>
        <w:rPr>
          <w:rFonts w:hint="eastAsia" w:ascii="方正小标宋简体" w:hAnsi="方正小标宋简体" w:eastAsia="方正小标宋简体" w:cs="方正小标宋简体"/>
          <w:sz w:val="32"/>
          <w:szCs w:val="32"/>
          <w:lang w:val="en-US" w:eastAsia="zh-CN"/>
        </w:rPr>
        <w:t>深入推进污染防治攻坚</w:t>
      </w:r>
      <w:bookmarkEnd w:id="63"/>
    </w:p>
    <w:p w14:paraId="474B01FD">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坚持精准治污、科学治污、依法治污，持续深入打好蓝天、碧水、净土保卫战，提质增效建设“无废城市”，</w:t>
      </w:r>
      <w:r>
        <w:rPr>
          <w:rFonts w:hint="eastAsia" w:ascii="Times New Roman" w:hAnsi="Times New Roman" w:eastAsia="仿宋_GB2312" w:cs="仿宋_GB2312"/>
          <w:spacing w:val="-6"/>
          <w:sz w:val="32"/>
          <w:szCs w:val="32"/>
          <w:lang w:val="en" w:eastAsia="zh-CN"/>
        </w:rPr>
        <w:t>强化多污染物控制协同、区域治理协同，</w:t>
      </w:r>
      <w:r>
        <w:rPr>
          <w:rFonts w:hint="eastAsia" w:ascii="Times New Roman" w:hAnsi="Times New Roman" w:eastAsia="仿宋_GB2312" w:cs="仿宋_GB2312"/>
          <w:spacing w:val="-6"/>
          <w:sz w:val="32"/>
          <w:szCs w:val="32"/>
          <w:lang w:val="en-US" w:eastAsia="zh-CN"/>
        </w:rPr>
        <w:t>持续改善生态环境质量，全力绘就丁青天蓝、地绿、水清、土净的生态底色。</w:t>
      </w:r>
    </w:p>
    <w:p w14:paraId="1E462F7C">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 w:eastAsia="zh-CN" w:bidi="ar-SA"/>
        </w:rPr>
      </w:pPr>
      <w:bookmarkStart w:id="64" w:name="_Toc30383"/>
      <w:bookmarkStart w:id="65" w:name="_Toc15387"/>
      <w:bookmarkStart w:id="66" w:name="_Toc16401"/>
      <w:r>
        <w:rPr>
          <w:rFonts w:hint="eastAsia" w:ascii="黑体" w:hAnsi="黑体" w:eastAsia="黑体" w:cs="黑体"/>
          <w:b w:val="0"/>
          <w:bCs w:val="0"/>
          <w:color w:val="auto"/>
          <w:sz w:val="32"/>
          <w:szCs w:val="32"/>
          <w:highlight w:val="none"/>
          <w:lang w:val="en-US" w:eastAsia="zh-CN" w:bidi="ar-SA"/>
        </w:rPr>
        <w:t>一、</w:t>
      </w:r>
      <w:bookmarkEnd w:id="64"/>
      <w:bookmarkEnd w:id="65"/>
      <w:r>
        <w:rPr>
          <w:rFonts w:hint="eastAsia" w:ascii="黑体" w:hAnsi="黑体" w:eastAsia="黑体" w:cs="黑体"/>
          <w:b w:val="0"/>
          <w:bCs w:val="0"/>
          <w:color w:val="auto"/>
          <w:sz w:val="32"/>
          <w:szCs w:val="32"/>
          <w:highlight w:val="none"/>
          <w:lang w:val="en" w:eastAsia="zh-CN" w:bidi="ar-SA"/>
        </w:rPr>
        <w:t>打赢蓝天保卫战</w:t>
      </w:r>
      <w:bookmarkEnd w:id="66"/>
    </w:p>
    <w:p w14:paraId="212B707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67" w:name="_Toc32325"/>
      <w:r>
        <w:rPr>
          <w:rFonts w:hint="eastAsia" w:ascii="楷体" w:hAnsi="楷体" w:eastAsia="楷体" w:cs="楷体"/>
          <w:sz w:val="32"/>
          <w:szCs w:val="32"/>
          <w:lang w:val="en-US" w:eastAsia="zh-CN"/>
        </w:rPr>
        <w:t>（一）强化</w:t>
      </w:r>
      <w:r>
        <w:rPr>
          <w:rFonts w:hint="eastAsia" w:ascii="楷体" w:hAnsi="楷体" w:eastAsia="楷体" w:cs="楷体"/>
          <w:sz w:val="32"/>
          <w:szCs w:val="32"/>
          <w:lang w:val="en" w:eastAsia="zh-CN"/>
        </w:rPr>
        <w:t>工业</w:t>
      </w:r>
      <w:r>
        <w:rPr>
          <w:rFonts w:hint="eastAsia" w:ascii="楷体" w:hAnsi="楷体" w:eastAsia="楷体" w:cs="楷体"/>
          <w:sz w:val="32"/>
          <w:szCs w:val="32"/>
          <w:lang w:val="en-US" w:eastAsia="zh-CN"/>
        </w:rPr>
        <w:t>大气</w:t>
      </w:r>
      <w:r>
        <w:rPr>
          <w:rFonts w:hint="eastAsia" w:ascii="楷体" w:hAnsi="楷体" w:eastAsia="楷体" w:cs="楷体"/>
          <w:sz w:val="32"/>
          <w:szCs w:val="32"/>
          <w:lang w:val="en" w:eastAsia="zh-CN"/>
        </w:rPr>
        <w:t>污染防治</w:t>
      </w:r>
      <w:bookmarkEnd w:id="67"/>
    </w:p>
    <w:p w14:paraId="7B18B148">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outlineLvl w:val="9"/>
        <w:rPr>
          <w:rFonts w:hint="eastAsia" w:ascii="Times New Roman" w:hAnsi="Times New Roman" w:eastAsia="仿宋_GB2312" w:cs="仿宋_GB2312"/>
          <w:color w:val="auto"/>
          <w:spacing w:val="-6"/>
          <w:sz w:val="32"/>
          <w:szCs w:val="32"/>
          <w:lang w:val="en-US" w:eastAsia="zh-CN"/>
        </w:rPr>
      </w:pPr>
      <w:r>
        <w:rPr>
          <w:rFonts w:hint="eastAsia" w:ascii="Times New Roman" w:hAnsi="Times New Roman" w:eastAsia="仿宋_GB2312" w:cs="仿宋_GB2312"/>
          <w:color w:val="auto"/>
          <w:spacing w:val="-6"/>
          <w:sz w:val="32"/>
          <w:szCs w:val="32"/>
          <w:lang w:val="en-US" w:eastAsia="zh-CN"/>
        </w:rPr>
        <w:t>督促供暖、制砖、砂石等重点涉气企业严格落实废气收集、除尘治理、设施运维等治污主体责任，确保废气稳定达标排放。</w:t>
      </w:r>
      <w:r>
        <w:rPr>
          <w:rFonts w:hint="eastAsia" w:ascii="Times New Roman" w:hAnsi="Times New Roman" w:eastAsia="仿宋_GB2312" w:cs="仿宋_GB2312"/>
          <w:color w:val="auto"/>
          <w:spacing w:val="-6"/>
          <w:sz w:val="32"/>
          <w:szCs w:val="32"/>
          <w:lang w:val="en" w:eastAsia="zh-CN"/>
        </w:rPr>
        <w:t>开展工业锅炉、炉窑</w:t>
      </w:r>
      <w:r>
        <w:rPr>
          <w:rFonts w:hint="eastAsia" w:ascii="Times New Roman" w:hAnsi="Times New Roman" w:eastAsia="仿宋_GB2312" w:cs="仿宋_GB2312"/>
          <w:color w:val="auto"/>
          <w:spacing w:val="-6"/>
          <w:sz w:val="32"/>
          <w:szCs w:val="32"/>
          <w:lang w:val="en-US" w:eastAsia="zh-CN"/>
        </w:rPr>
        <w:t>及其他</w:t>
      </w:r>
      <w:r>
        <w:rPr>
          <w:rFonts w:hint="eastAsia" w:ascii="Times New Roman" w:hAnsi="Times New Roman" w:eastAsia="仿宋_GB2312" w:cs="仿宋_GB2312"/>
          <w:color w:val="auto"/>
          <w:spacing w:val="-6"/>
          <w:sz w:val="32"/>
          <w:szCs w:val="32"/>
          <w:lang w:val="en" w:eastAsia="zh-CN"/>
        </w:rPr>
        <w:t>简易低效污染治理设施排查和整治。</w:t>
      </w:r>
      <w:r>
        <w:rPr>
          <w:rFonts w:hint="eastAsia" w:ascii="Times New Roman" w:hAnsi="Times New Roman" w:eastAsia="仿宋_GB2312" w:cs="仿宋_GB2312"/>
          <w:color w:val="auto"/>
          <w:spacing w:val="-6"/>
          <w:sz w:val="32"/>
          <w:szCs w:val="32"/>
          <w:lang w:val="en-US" w:eastAsia="zh-CN"/>
        </w:rPr>
        <w:t>开展生物质锅炉排查，</w:t>
      </w:r>
      <w:r>
        <w:rPr>
          <w:rFonts w:hint="eastAsia" w:ascii="Times New Roman" w:hAnsi="Times New Roman" w:eastAsia="仿宋_GB2312" w:cs="仿宋_GB2312"/>
          <w:color w:val="auto"/>
          <w:spacing w:val="-6"/>
          <w:sz w:val="32"/>
          <w:szCs w:val="32"/>
          <w:lang w:val="en" w:eastAsia="zh-CN"/>
        </w:rPr>
        <w:t>禁止掺烧煤炭、生活垃圾等其他物料，</w:t>
      </w:r>
      <w:r>
        <w:rPr>
          <w:rFonts w:hint="eastAsia" w:ascii="Times New Roman" w:hAnsi="Times New Roman" w:eastAsia="仿宋_GB2312" w:cs="仿宋_GB2312"/>
          <w:color w:val="auto"/>
          <w:spacing w:val="-6"/>
          <w:sz w:val="32"/>
          <w:szCs w:val="32"/>
          <w:lang w:val="en-US" w:eastAsia="zh-CN"/>
        </w:rPr>
        <w:t>完善环境影响评价等手续，全面淘汰2蒸吨/小时及以下生物质锅炉。开展消耗臭氧层物质底数摸排，做好销售使用登记备案。</w:t>
      </w:r>
    </w:p>
    <w:p w14:paraId="4B248A65">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outlineLvl w:val="9"/>
        <w:rPr>
          <w:rFonts w:hint="eastAsia" w:ascii="Times New Roman" w:hAnsi="Times New Roman" w:eastAsia="仿宋_GB2312" w:cs="仿宋_GB2312"/>
          <w:b w:val="0"/>
          <w:bCs w:val="0"/>
          <w:spacing w:val="-6"/>
          <w:sz w:val="32"/>
          <w:szCs w:val="32"/>
          <w:lang w:val="en" w:eastAsia="zh-CN"/>
        </w:rPr>
      </w:pPr>
      <w:r>
        <w:rPr>
          <w:rFonts w:hint="eastAsia" w:ascii="Times New Roman" w:hAnsi="Times New Roman" w:eastAsia="仿宋_GB2312" w:cs="仿宋_GB2312"/>
          <w:color w:val="auto"/>
          <w:spacing w:val="-6"/>
          <w:sz w:val="32"/>
          <w:szCs w:val="32"/>
          <w:lang w:val="en-US" w:eastAsia="zh-CN"/>
        </w:rPr>
        <w:t>开展汽修行业大气污染综合整治，督促</w:t>
      </w:r>
      <w:r>
        <w:rPr>
          <w:rFonts w:hint="eastAsia" w:ascii="Times New Roman" w:hAnsi="Times New Roman" w:eastAsia="仿宋_GB2312" w:cs="仿宋_GB2312"/>
          <w:color w:val="auto"/>
          <w:spacing w:val="-6"/>
          <w:sz w:val="32"/>
          <w:szCs w:val="32"/>
          <w:lang w:val="en" w:eastAsia="zh-CN"/>
        </w:rPr>
        <w:t>汽车维修</w:t>
      </w:r>
      <w:r>
        <w:rPr>
          <w:rFonts w:hint="eastAsia" w:ascii="Times New Roman" w:hAnsi="Times New Roman" w:eastAsia="仿宋_GB2312" w:cs="仿宋_GB2312"/>
          <w:color w:val="auto"/>
          <w:spacing w:val="-6"/>
          <w:sz w:val="32"/>
          <w:szCs w:val="32"/>
          <w:lang w:val="en-US" w:eastAsia="zh-CN"/>
        </w:rPr>
        <w:t>企业</w:t>
      </w:r>
      <w:r>
        <w:rPr>
          <w:rFonts w:hint="eastAsia" w:ascii="Times New Roman" w:hAnsi="Times New Roman" w:eastAsia="仿宋_GB2312" w:cs="仿宋_GB2312"/>
          <w:color w:val="auto"/>
          <w:spacing w:val="-6"/>
          <w:sz w:val="32"/>
          <w:szCs w:val="32"/>
          <w:lang w:val="en" w:eastAsia="zh-CN"/>
        </w:rPr>
        <w:t>建立管理台账、完善环保制度、完善原料使用和</w:t>
      </w:r>
      <w:r>
        <w:rPr>
          <w:rFonts w:hint="eastAsia" w:ascii="Times New Roman" w:hAnsi="Times New Roman" w:eastAsia="仿宋_GB2312" w:cs="仿宋_GB2312"/>
          <w:color w:val="auto"/>
          <w:spacing w:val="-6"/>
          <w:sz w:val="32"/>
          <w:szCs w:val="32"/>
          <w:lang w:val="en-US" w:eastAsia="zh-CN"/>
        </w:rPr>
        <w:t>治理</w:t>
      </w:r>
      <w:r>
        <w:rPr>
          <w:rFonts w:hint="eastAsia" w:ascii="Times New Roman" w:hAnsi="Times New Roman" w:eastAsia="仿宋_GB2312" w:cs="仿宋_GB2312"/>
          <w:color w:val="auto"/>
          <w:spacing w:val="-6"/>
          <w:sz w:val="32"/>
          <w:szCs w:val="32"/>
          <w:lang w:val="en" w:eastAsia="zh-CN"/>
        </w:rPr>
        <w:t>设施维护登记制度，</w:t>
      </w:r>
      <w:r>
        <w:rPr>
          <w:rFonts w:hint="eastAsia" w:ascii="Times New Roman" w:hAnsi="Times New Roman" w:eastAsia="仿宋_GB2312" w:cs="仿宋_GB2312"/>
          <w:color w:val="auto"/>
          <w:spacing w:val="-6"/>
          <w:sz w:val="32"/>
          <w:szCs w:val="32"/>
          <w:lang w:val="en-US" w:eastAsia="zh-CN"/>
        </w:rPr>
        <w:t>督促</w:t>
      </w:r>
      <w:r>
        <w:rPr>
          <w:rFonts w:hint="eastAsia" w:ascii="Times New Roman" w:hAnsi="Times New Roman" w:eastAsia="仿宋_GB2312" w:cs="仿宋_GB2312"/>
          <w:color w:val="auto"/>
          <w:spacing w:val="-6"/>
          <w:sz w:val="32"/>
          <w:szCs w:val="32"/>
          <w:lang w:val="en" w:eastAsia="zh-CN"/>
        </w:rPr>
        <w:t>大型汽修</w:t>
      </w:r>
      <w:r>
        <w:rPr>
          <w:rFonts w:hint="eastAsia" w:ascii="Times New Roman" w:hAnsi="Times New Roman" w:eastAsia="仿宋_GB2312" w:cs="仿宋_GB2312"/>
          <w:color w:val="auto"/>
          <w:spacing w:val="-6"/>
          <w:sz w:val="32"/>
          <w:szCs w:val="32"/>
          <w:lang w:val="en-US" w:eastAsia="zh-CN"/>
        </w:rPr>
        <w:t>企业</w:t>
      </w:r>
      <w:r>
        <w:rPr>
          <w:rFonts w:hint="eastAsia" w:ascii="Times New Roman" w:hAnsi="Times New Roman" w:eastAsia="仿宋_GB2312" w:cs="仿宋_GB2312"/>
          <w:b w:val="0"/>
          <w:bCs w:val="0"/>
          <w:spacing w:val="-6"/>
          <w:sz w:val="32"/>
          <w:szCs w:val="32"/>
          <w:lang w:val="en" w:eastAsia="zh-CN"/>
        </w:rPr>
        <w:t>喷漆作业设置密闭烤漆房、调漆间，配套废气收集及活性炭吸附等治理设施并常态化正常运行，定期更换活性炭并做好更换记录。</w:t>
      </w:r>
      <w:r>
        <w:rPr>
          <w:rFonts w:hint="eastAsia" w:ascii="Times New Roman" w:hAnsi="Times New Roman" w:eastAsia="仿宋_GB2312" w:cs="仿宋_GB2312"/>
          <w:spacing w:val="-6"/>
          <w:sz w:val="32"/>
          <w:szCs w:val="32"/>
          <w:lang w:val="en" w:eastAsia="zh-CN"/>
        </w:rPr>
        <w:t>督促</w:t>
      </w:r>
      <w:r>
        <w:rPr>
          <w:rFonts w:hint="eastAsia" w:ascii="Times New Roman" w:hAnsi="Times New Roman" w:eastAsia="仿宋_GB2312" w:cs="仿宋_GB2312"/>
          <w:spacing w:val="-6"/>
          <w:sz w:val="32"/>
          <w:szCs w:val="32"/>
          <w:lang w:val="en-US" w:eastAsia="zh-CN"/>
        </w:rPr>
        <w:t>砂石开采</w:t>
      </w:r>
      <w:r>
        <w:rPr>
          <w:rFonts w:hint="eastAsia" w:ascii="Times New Roman" w:hAnsi="Times New Roman" w:eastAsia="仿宋_GB2312" w:cs="仿宋_GB2312"/>
          <w:spacing w:val="-6"/>
          <w:sz w:val="32"/>
          <w:szCs w:val="32"/>
          <w:lang w:val="en" w:eastAsia="zh-CN"/>
        </w:rPr>
        <w:t>企业做好厂区地面硬化、喷淋抑尘、密闭堆放、车辆冲洗等规范化治理，对未按要求落实防尘措施、造成扬尘污染的，依法责令整改并予以处罚。</w:t>
      </w:r>
      <w:r>
        <w:rPr>
          <w:rFonts w:hint="eastAsia" w:ascii="Times New Roman" w:hAnsi="Times New Roman" w:eastAsia="仿宋_GB2312" w:cs="仿宋_GB2312"/>
          <w:b w:val="0"/>
          <w:bCs w:val="0"/>
          <w:spacing w:val="-6"/>
          <w:sz w:val="32"/>
          <w:szCs w:val="32"/>
          <w:lang w:val="en-US" w:eastAsia="zh-CN"/>
        </w:rPr>
        <w:t>聚焦矿山开采作业、物料堆放、物料运输、加工破损等重点环节，常态化开展矿山面源污染排查工作。</w:t>
      </w:r>
    </w:p>
    <w:p w14:paraId="5AB66FF7">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68" w:name="_Toc7826"/>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val="en" w:eastAsia="zh-CN"/>
        </w:rPr>
        <w:t>）综合治理移动源污染</w:t>
      </w:r>
      <w:bookmarkEnd w:id="68"/>
    </w:p>
    <w:p w14:paraId="028D3E4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9" w:firstLineChars="200"/>
        <w:textAlignment w:val="auto"/>
        <w:outlineLvl w:val="9"/>
        <w:rPr>
          <w:rFonts w:hint="default" w:ascii="Times New Roman" w:hAnsi="Times New Roman" w:eastAsia="仿宋_GB2312" w:cs="仿宋_GB2312"/>
          <w:b/>
          <w:bCs/>
          <w:spacing w:val="-6"/>
          <w:sz w:val="32"/>
          <w:szCs w:val="32"/>
          <w:lang w:val="en-US" w:eastAsia="zh-CN"/>
        </w:rPr>
      </w:pPr>
      <w:r>
        <w:rPr>
          <w:rFonts w:hint="eastAsia" w:ascii="Times New Roman" w:hAnsi="Times New Roman" w:eastAsia="仿宋_GB2312" w:cs="仿宋_GB2312"/>
          <w:b/>
          <w:bCs/>
          <w:spacing w:val="-6"/>
          <w:sz w:val="32"/>
          <w:szCs w:val="32"/>
          <w:lang w:val="en-US" w:eastAsia="zh-CN"/>
        </w:rPr>
        <w:t>持续推进柴油货车污染治理。</w:t>
      </w:r>
      <w:r>
        <w:rPr>
          <w:rFonts w:hint="eastAsia" w:ascii="Times New Roman" w:hAnsi="Times New Roman" w:eastAsia="仿宋_GB2312" w:cs="仿宋_GB2312"/>
          <w:color w:val="auto"/>
          <w:spacing w:val="-6"/>
          <w:sz w:val="32"/>
          <w:szCs w:val="32"/>
          <w:lang w:val="en-US" w:eastAsia="zh-CN"/>
        </w:rPr>
        <w:t>持续推进柴油货车污染防治攻坚行动，</w:t>
      </w:r>
      <w:r>
        <w:rPr>
          <w:rFonts w:hint="eastAsia" w:ascii="Times New Roman" w:hAnsi="Times New Roman" w:eastAsia="仿宋_GB2312" w:cs="仿宋_GB2312"/>
          <w:color w:val="auto"/>
          <w:spacing w:val="-6"/>
          <w:sz w:val="32"/>
          <w:szCs w:val="32"/>
          <w:lang w:val="en" w:eastAsia="zh-CN"/>
        </w:rPr>
        <w:t>基本</w:t>
      </w:r>
      <w:r>
        <w:rPr>
          <w:rFonts w:hint="eastAsia" w:ascii="Times New Roman" w:hAnsi="Times New Roman" w:eastAsia="仿宋_GB2312" w:cs="仿宋_GB2312"/>
          <w:color w:val="auto"/>
          <w:spacing w:val="-6"/>
          <w:sz w:val="32"/>
          <w:szCs w:val="32"/>
          <w:lang w:val="en-US" w:eastAsia="zh-CN"/>
        </w:rPr>
        <w:t>淘汰国三及以下排放标准老旧营运货车，落实轻型车和重型车国</w:t>
      </w:r>
      <w:r>
        <w:rPr>
          <w:rFonts w:hint="eastAsia" w:ascii="仿宋_GB2312" w:hAnsi="仿宋_GB2312" w:eastAsia="仿宋_GB2312" w:cs="仿宋_GB2312"/>
          <w:color w:val="auto"/>
          <w:sz w:val="32"/>
          <w:szCs w:val="32"/>
          <w:lang w:val="en-US" w:eastAsia="zh-CN"/>
        </w:rPr>
        <w:t>6b</w:t>
      </w:r>
      <w:r>
        <w:rPr>
          <w:rFonts w:hint="eastAsia" w:ascii="Times New Roman" w:hAnsi="Times New Roman" w:eastAsia="仿宋_GB2312" w:cs="仿宋_GB2312"/>
          <w:color w:val="auto"/>
          <w:spacing w:val="-6"/>
          <w:sz w:val="32"/>
          <w:szCs w:val="32"/>
          <w:lang w:val="en-US" w:eastAsia="zh-CN"/>
        </w:rPr>
        <w:t>排放标准。配合市级部门常态化开展重型载货车辆路检路查，以国道317沿线为重点，严查不正常使用污染控制装置、冒黑烟、尾气排放不达标等问题。落实机动车排放检测与强制维护制度（I/M制度），强化丁青县机动车综合检测站监督检查，督促其规范机动车尾气排放检验检测业务，严厉打击数据造假、出具虚假报告等违法行为。督促砂石加工企业、施工项目等重点用车单位建立车辆出入台账、常态化开展车辆维保检修，规范场内运输车辆环保管理。</w:t>
      </w:r>
    </w:p>
    <w:p w14:paraId="0190745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9"/>
        <w:rPr>
          <w:rFonts w:hint="eastAsia" w:ascii="Times New Roman" w:hAnsi="Times New Roman" w:eastAsia="仿宋_GB2312" w:cs="仿宋_GB2312"/>
          <w:spacing w:val="-6"/>
          <w:sz w:val="32"/>
          <w:szCs w:val="32"/>
          <w:lang w:val="en" w:eastAsia="zh-CN"/>
        </w:rPr>
      </w:pPr>
      <w:r>
        <w:rPr>
          <w:rFonts w:hint="eastAsia" w:ascii="仿宋_GB2312" w:hAnsi="仿宋_GB2312" w:eastAsia="仿宋_GB2312" w:cs="仿宋_GB2312"/>
          <w:b/>
          <w:bCs/>
          <w:color w:val="auto"/>
          <w:sz w:val="32"/>
          <w:szCs w:val="32"/>
          <w:lang w:val="en-US" w:eastAsia="zh-CN"/>
        </w:rPr>
        <w:t>加强非道路移动机械监管。</w:t>
      </w:r>
      <w:r>
        <w:rPr>
          <w:rFonts w:hint="eastAsia" w:ascii="仿宋_GB2312" w:hAnsi="仿宋_GB2312" w:eastAsia="仿宋_GB2312" w:cs="仿宋_GB2312"/>
          <w:color w:val="auto"/>
          <w:sz w:val="32"/>
          <w:szCs w:val="32"/>
        </w:rPr>
        <w:t>落实非道路移动机械使用登记管理制度，</w:t>
      </w:r>
      <w:r>
        <w:rPr>
          <w:rFonts w:hint="eastAsia" w:ascii="仿宋_GB2312" w:hAnsi="仿宋_GB2312" w:eastAsia="仿宋_GB2312" w:cs="仿宋_GB2312"/>
          <w:color w:val="auto"/>
          <w:sz w:val="32"/>
          <w:szCs w:val="32"/>
          <w:lang w:val="en-US" w:eastAsia="zh-CN"/>
        </w:rPr>
        <w:t>开展</w:t>
      </w:r>
      <w:r>
        <w:rPr>
          <w:rFonts w:hint="eastAsia" w:ascii="仿宋_GB2312" w:hAnsi="仿宋_GB2312" w:eastAsia="仿宋_GB2312" w:cs="仿宋_GB2312"/>
          <w:color w:val="auto"/>
          <w:sz w:val="32"/>
          <w:szCs w:val="32"/>
        </w:rPr>
        <w:t>非道路移动机械</w:t>
      </w:r>
      <w:r>
        <w:rPr>
          <w:rFonts w:hint="eastAsia" w:ascii="仿宋_GB2312" w:hAnsi="仿宋_GB2312" w:eastAsia="仿宋_GB2312" w:cs="仿宋_GB2312"/>
          <w:color w:val="auto"/>
          <w:sz w:val="32"/>
          <w:szCs w:val="32"/>
          <w:lang w:val="en-US" w:eastAsia="zh-CN"/>
        </w:rPr>
        <w:t>登记、挂牌工作。</w:t>
      </w:r>
      <w:r>
        <w:rPr>
          <w:rFonts w:hint="eastAsia" w:ascii="Times New Roman" w:hAnsi="Times New Roman" w:eastAsia="仿宋_GB2312" w:cs="仿宋_GB2312"/>
          <w:color w:val="auto"/>
          <w:spacing w:val="-6"/>
          <w:sz w:val="32"/>
          <w:szCs w:val="32"/>
          <w:lang w:val="en" w:eastAsia="zh-CN"/>
        </w:rPr>
        <w:t>严格执行非道路柴油移动机械污染物排放控制要求，淘汰</w:t>
      </w:r>
      <w:r>
        <w:rPr>
          <w:rFonts w:hint="eastAsia" w:ascii="Times New Roman" w:hAnsi="Times New Roman" w:eastAsia="仿宋_GB2312" w:cs="仿宋_GB2312"/>
          <w:color w:val="auto"/>
          <w:spacing w:val="-6"/>
          <w:sz w:val="32"/>
          <w:szCs w:val="32"/>
          <w:lang w:val="en-US" w:eastAsia="zh-CN"/>
        </w:rPr>
        <w:t>国一</w:t>
      </w:r>
      <w:r>
        <w:rPr>
          <w:rFonts w:hint="eastAsia" w:ascii="Times New Roman" w:hAnsi="Times New Roman" w:eastAsia="仿宋_GB2312" w:cs="仿宋_GB2312"/>
          <w:color w:val="auto"/>
          <w:spacing w:val="-6"/>
          <w:sz w:val="32"/>
          <w:szCs w:val="32"/>
          <w:lang w:val="en" w:eastAsia="zh-CN"/>
        </w:rPr>
        <w:t>及以下排放标准非道路移动机械，</w:t>
      </w:r>
      <w:r>
        <w:rPr>
          <w:rFonts w:hint="eastAsia" w:ascii="Times New Roman" w:hAnsi="Times New Roman" w:eastAsia="仿宋_GB2312" w:cs="仿宋_GB2312"/>
          <w:color w:val="auto"/>
          <w:spacing w:val="-6"/>
          <w:sz w:val="32"/>
          <w:szCs w:val="32"/>
          <w:lang w:val="en-US" w:eastAsia="zh-CN"/>
        </w:rPr>
        <w:t>推动国二排放标准非道路移动机械淘汰</w:t>
      </w:r>
      <w:r>
        <w:rPr>
          <w:rFonts w:hint="eastAsia" w:ascii="Times New Roman" w:hAnsi="Times New Roman" w:eastAsia="仿宋_GB2312" w:cs="仿宋_GB2312"/>
          <w:color w:val="auto"/>
          <w:spacing w:val="-6"/>
          <w:sz w:val="32"/>
          <w:szCs w:val="32"/>
          <w:lang w:val="en" w:eastAsia="zh-CN"/>
        </w:rPr>
        <w:t>。</w:t>
      </w:r>
      <w:r>
        <w:rPr>
          <w:rFonts w:hint="eastAsia" w:ascii="Times New Roman" w:hAnsi="Times New Roman" w:eastAsia="仿宋_GB2312" w:cs="仿宋_GB2312"/>
          <w:spacing w:val="-6"/>
          <w:sz w:val="32"/>
          <w:szCs w:val="32"/>
          <w:lang w:val="en" w:eastAsia="zh-CN"/>
        </w:rPr>
        <w:t>鼓励工矿企业、物流园区推进内部作业车辆和机械新能源更新改造。严格非道路移动机械排放监督检查，</w:t>
      </w:r>
      <w:r>
        <w:rPr>
          <w:rFonts w:hint="eastAsia" w:ascii="Times New Roman" w:hAnsi="Times New Roman" w:eastAsia="仿宋_GB2312" w:cs="仿宋_GB2312"/>
          <w:spacing w:val="-6"/>
          <w:sz w:val="32"/>
          <w:szCs w:val="32"/>
          <w:lang w:val="en-US" w:eastAsia="zh-CN"/>
        </w:rPr>
        <w:t>配合市级部门</w:t>
      </w:r>
      <w:r>
        <w:rPr>
          <w:rFonts w:hint="eastAsia" w:ascii="Times New Roman" w:hAnsi="Times New Roman" w:eastAsia="仿宋_GB2312" w:cs="仿宋_GB2312"/>
          <w:spacing w:val="-6"/>
          <w:sz w:val="32"/>
          <w:szCs w:val="32"/>
          <w:lang w:val="en" w:eastAsia="zh-CN"/>
        </w:rPr>
        <w:t>开展非道路移动机械尾气检测。</w:t>
      </w:r>
      <w:r>
        <w:rPr>
          <w:rFonts w:hint="eastAsia" w:ascii="仿宋_GB2312" w:hAnsi="仿宋_GB2312" w:eastAsia="仿宋_GB2312" w:cs="仿宋_GB2312"/>
          <w:color w:val="auto"/>
          <w:sz w:val="32"/>
          <w:szCs w:val="32"/>
          <w:lang w:val="en-US" w:eastAsia="zh-CN"/>
        </w:rPr>
        <w:t>开展高排放非道路移动机械禁止使用区域划定。</w:t>
      </w:r>
    </w:p>
    <w:p w14:paraId="3300A6F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9"/>
        <w:rPr>
          <w:rFonts w:hint="eastAsia" w:ascii="Times New Roman" w:hAnsi="Times New Roman" w:eastAsia="仿宋_GB2312" w:cs="仿宋_GB2312"/>
          <w:spacing w:val="-6"/>
          <w:sz w:val="32"/>
          <w:szCs w:val="32"/>
          <w:lang w:val="en" w:eastAsia="zh-CN"/>
        </w:rPr>
      </w:pPr>
      <w:r>
        <w:rPr>
          <w:rFonts w:hint="eastAsia" w:ascii="仿宋_GB2312" w:hAnsi="仿宋_GB2312" w:eastAsia="仿宋_GB2312" w:cs="仿宋_GB2312"/>
          <w:b/>
          <w:bCs/>
          <w:color w:val="auto"/>
          <w:sz w:val="32"/>
          <w:szCs w:val="32"/>
        </w:rPr>
        <w:t>强化成品油储运销环节监管。</w:t>
      </w:r>
      <w:r>
        <w:rPr>
          <w:rFonts w:hint="eastAsia" w:ascii="Times New Roman" w:hAnsi="Times New Roman" w:eastAsia="仿宋_GB2312" w:cs="仿宋_GB2312"/>
          <w:spacing w:val="-6"/>
          <w:sz w:val="32"/>
          <w:szCs w:val="32"/>
          <w:lang w:val="en" w:eastAsia="zh-CN"/>
        </w:rPr>
        <w:t>加强油品仓储、销售、运输、使用全环节监管，排查整治辖区内私自搭建的自建油罐、无资质流动加油车以及隐蔽性黑加油站点，从严查处非法储油、售油等违法经营行为，坚决打击将非标油品、劣质油品冒充合规发动机燃料对外销售的违法行为。</w:t>
      </w:r>
      <w:r>
        <w:rPr>
          <w:rFonts w:hint="eastAsia" w:ascii="仿宋_GB2312" w:hAnsi="仿宋_GB2312" w:eastAsia="仿宋_GB2312" w:cs="仿宋_GB2312"/>
          <w:color w:val="auto"/>
          <w:sz w:val="32"/>
          <w:szCs w:val="32"/>
        </w:rPr>
        <w:t>强化加油站油气回收装置运行情况检查，确保油气回收装置正常有效运行</w:t>
      </w:r>
      <w:r>
        <w:rPr>
          <w:rFonts w:hint="eastAsia" w:ascii="仿宋_GB2312" w:hAnsi="仿宋_GB2312" w:eastAsia="仿宋_GB2312" w:cs="仿宋_GB2312"/>
          <w:color w:val="auto"/>
          <w:sz w:val="32"/>
          <w:szCs w:val="32"/>
          <w:lang w:eastAsia="zh-CN"/>
        </w:rPr>
        <w:t>，</w:t>
      </w:r>
      <w:r>
        <w:rPr>
          <w:rFonts w:hint="eastAsia" w:ascii="Times New Roman" w:hAnsi="Times New Roman" w:eastAsia="仿宋_GB2312" w:cs="仿宋_GB2312"/>
          <w:spacing w:val="-6"/>
          <w:sz w:val="32"/>
          <w:szCs w:val="32"/>
          <w:lang w:val="en" w:eastAsia="zh-CN"/>
        </w:rPr>
        <w:t>鼓励新建及改造加油站配套安装油气回收设施。</w:t>
      </w:r>
    </w:p>
    <w:p w14:paraId="48306DA9">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69" w:name="_Toc16411"/>
      <w:r>
        <w:rPr>
          <w:rFonts w:hint="eastAsia" w:ascii="楷体" w:hAnsi="楷体" w:eastAsia="楷体" w:cs="楷体"/>
          <w:sz w:val="32"/>
          <w:szCs w:val="32"/>
          <w:lang w:val="en-US" w:eastAsia="zh-CN"/>
        </w:rPr>
        <w:t>（三）整治扬尘与面源污染</w:t>
      </w:r>
      <w:bookmarkEnd w:id="69"/>
    </w:p>
    <w:p w14:paraId="4701D9B3">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outlineLvl w:val="9"/>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b/>
          <w:bCs/>
          <w:spacing w:val="-6"/>
          <w:sz w:val="32"/>
          <w:szCs w:val="32"/>
          <w:lang w:val="en-US" w:eastAsia="zh-CN"/>
        </w:rPr>
        <w:t>加强</w:t>
      </w:r>
      <w:r>
        <w:rPr>
          <w:rFonts w:hint="eastAsia" w:ascii="Times New Roman" w:hAnsi="Times New Roman" w:eastAsia="仿宋_GB2312" w:cs="仿宋_GB2312"/>
          <w:b/>
          <w:bCs/>
          <w:spacing w:val="-6"/>
          <w:sz w:val="32"/>
          <w:szCs w:val="32"/>
          <w:lang w:val="en" w:eastAsia="zh-CN"/>
        </w:rPr>
        <w:t>施工</w:t>
      </w:r>
      <w:r>
        <w:rPr>
          <w:rFonts w:hint="eastAsia" w:ascii="Times New Roman" w:hAnsi="Times New Roman" w:eastAsia="仿宋_GB2312" w:cs="仿宋_GB2312"/>
          <w:b/>
          <w:bCs/>
          <w:spacing w:val="-6"/>
          <w:sz w:val="32"/>
          <w:szCs w:val="32"/>
          <w:lang w:val="en-US" w:eastAsia="zh-CN"/>
        </w:rPr>
        <w:t>扬尘及道路</w:t>
      </w:r>
      <w:r>
        <w:rPr>
          <w:rFonts w:hint="eastAsia" w:ascii="Times New Roman" w:hAnsi="Times New Roman" w:eastAsia="仿宋_GB2312" w:cs="仿宋_GB2312"/>
          <w:b/>
          <w:bCs/>
          <w:spacing w:val="-6"/>
          <w:sz w:val="32"/>
          <w:szCs w:val="32"/>
          <w:lang w:val="en" w:eastAsia="zh-CN"/>
        </w:rPr>
        <w:t>扬尘</w:t>
      </w:r>
      <w:r>
        <w:rPr>
          <w:rFonts w:hint="eastAsia" w:ascii="Times New Roman" w:hAnsi="Times New Roman" w:eastAsia="仿宋_GB2312" w:cs="仿宋_GB2312"/>
          <w:b/>
          <w:bCs/>
          <w:spacing w:val="-6"/>
          <w:sz w:val="32"/>
          <w:szCs w:val="32"/>
          <w:lang w:val="en-US" w:eastAsia="zh-CN"/>
        </w:rPr>
        <w:t>管控</w:t>
      </w:r>
      <w:r>
        <w:rPr>
          <w:rFonts w:hint="eastAsia" w:ascii="Times New Roman" w:hAnsi="Times New Roman" w:eastAsia="仿宋_GB2312" w:cs="仿宋_GB2312"/>
          <w:b/>
          <w:bCs/>
          <w:spacing w:val="-6"/>
          <w:sz w:val="32"/>
          <w:szCs w:val="32"/>
          <w:lang w:val="en" w:eastAsia="zh-CN"/>
        </w:rPr>
        <w:t>。</w:t>
      </w:r>
      <w:r>
        <w:rPr>
          <w:rFonts w:hint="eastAsia" w:ascii="Times New Roman" w:hAnsi="Times New Roman" w:eastAsia="仿宋_GB2312" w:cs="仿宋_GB2312"/>
          <w:spacing w:val="-6"/>
          <w:sz w:val="32"/>
          <w:szCs w:val="32"/>
          <w:lang w:val="en-US" w:eastAsia="zh-CN"/>
        </w:rPr>
        <w:t>以</w:t>
      </w:r>
      <w:r>
        <w:rPr>
          <w:rFonts w:hint="eastAsia" w:ascii="Times New Roman" w:hAnsi="Times New Roman" w:eastAsia="仿宋_GB2312" w:cs="仿宋_GB2312"/>
          <w:spacing w:val="-6"/>
          <w:sz w:val="32"/>
          <w:szCs w:val="32"/>
          <w:lang w:val="en" w:eastAsia="zh-CN"/>
        </w:rPr>
        <w:t>城镇更新、市政道路修缮、管网改造、基础设施建设等项目</w:t>
      </w:r>
      <w:r>
        <w:rPr>
          <w:rFonts w:hint="eastAsia" w:ascii="Times New Roman" w:hAnsi="Times New Roman" w:eastAsia="仿宋_GB2312" w:cs="仿宋_GB2312"/>
          <w:spacing w:val="-6"/>
          <w:sz w:val="32"/>
          <w:szCs w:val="32"/>
          <w:lang w:val="en-US" w:eastAsia="zh-CN"/>
        </w:rPr>
        <w:t>为重点</w:t>
      </w:r>
      <w:r>
        <w:rPr>
          <w:rFonts w:hint="eastAsia" w:ascii="Times New Roman" w:hAnsi="Times New Roman" w:eastAsia="仿宋_GB2312" w:cs="仿宋_GB2312"/>
          <w:spacing w:val="-6"/>
          <w:sz w:val="32"/>
          <w:szCs w:val="32"/>
          <w:lang w:val="en" w:eastAsia="zh-CN"/>
        </w:rPr>
        <w:t>，</w:t>
      </w:r>
      <w:r>
        <w:rPr>
          <w:rFonts w:hint="eastAsia" w:ascii="Times New Roman" w:hAnsi="Times New Roman" w:eastAsia="仿宋_GB2312" w:cs="仿宋_GB2312"/>
          <w:spacing w:val="-6"/>
          <w:sz w:val="32"/>
          <w:szCs w:val="32"/>
          <w:lang w:val="en-US" w:eastAsia="zh-CN"/>
        </w:rPr>
        <w:t>强化</w:t>
      </w:r>
      <w:r>
        <w:rPr>
          <w:rFonts w:hint="eastAsia" w:ascii="Times New Roman" w:hAnsi="Times New Roman" w:eastAsia="仿宋_GB2312" w:cs="仿宋_GB2312"/>
          <w:spacing w:val="-6"/>
          <w:sz w:val="32"/>
          <w:szCs w:val="32"/>
          <w:lang w:val="en" w:eastAsia="zh-CN"/>
        </w:rPr>
        <w:t>施工扬尘</w:t>
      </w:r>
      <w:r>
        <w:rPr>
          <w:rFonts w:hint="eastAsia" w:ascii="Times New Roman" w:hAnsi="Times New Roman" w:eastAsia="仿宋_GB2312" w:cs="仿宋_GB2312"/>
          <w:spacing w:val="-6"/>
          <w:sz w:val="32"/>
          <w:szCs w:val="32"/>
          <w:lang w:val="en-US" w:eastAsia="zh-CN"/>
        </w:rPr>
        <w:t>巡查检查和</w:t>
      </w:r>
      <w:r>
        <w:rPr>
          <w:rFonts w:hint="eastAsia" w:ascii="Times New Roman" w:hAnsi="Times New Roman" w:eastAsia="仿宋_GB2312" w:cs="仿宋_GB2312"/>
          <w:spacing w:val="-6"/>
          <w:sz w:val="32"/>
          <w:szCs w:val="32"/>
          <w:lang w:val="en" w:eastAsia="zh-CN"/>
        </w:rPr>
        <w:t>综合治理，</w:t>
      </w:r>
      <w:r>
        <w:rPr>
          <w:rFonts w:hint="eastAsia" w:ascii="仿宋_GB2312" w:hAnsi="仿宋_GB2312" w:eastAsia="仿宋_GB2312" w:cs="仿宋_GB2312"/>
          <w:color w:val="auto"/>
          <w:sz w:val="32"/>
          <w:szCs w:val="32"/>
        </w:rPr>
        <w:t>对控尘措施落实不到位的依法严处</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仿宋_GB2312"/>
          <w:spacing w:val="-6"/>
          <w:sz w:val="32"/>
          <w:szCs w:val="32"/>
          <w:lang w:val="en"/>
        </w:rPr>
        <w:t>鼓励城镇规划范围内</w:t>
      </w:r>
      <w:r>
        <w:rPr>
          <w:rFonts w:hint="eastAsia" w:ascii="Times New Roman" w:hAnsi="Times New Roman" w:eastAsia="仿宋_GB2312" w:cs="仿宋_GB2312"/>
          <w:spacing w:val="-6"/>
          <w:sz w:val="32"/>
          <w:szCs w:val="32"/>
          <w:lang w:val="en" w:eastAsia="zh-CN"/>
        </w:rPr>
        <w:t>5000</w:t>
      </w:r>
      <w:r>
        <w:rPr>
          <w:rFonts w:hint="eastAsia" w:ascii="Times New Roman" w:hAnsi="Times New Roman" w:eastAsia="仿宋_GB2312" w:cs="仿宋_GB2312"/>
          <w:spacing w:val="-6"/>
          <w:sz w:val="32"/>
          <w:szCs w:val="32"/>
          <w:lang w:val="en"/>
        </w:rPr>
        <w:t>平方米及以上建筑工地安装视频监控并接入西藏自治区智慧工地服务与监管平台</w:t>
      </w:r>
      <w:r>
        <w:rPr>
          <w:rFonts w:hint="eastAsia" w:ascii="Times New Roman" w:hAnsi="Times New Roman" w:eastAsia="仿宋_GB2312" w:cs="仿宋_GB2312"/>
          <w:spacing w:val="-6"/>
          <w:sz w:val="32"/>
          <w:szCs w:val="32"/>
          <w:lang w:val="en" w:eastAsia="zh-CN"/>
        </w:rPr>
        <w:t>。对</w:t>
      </w:r>
      <w:r>
        <w:rPr>
          <w:rFonts w:hint="eastAsia" w:ascii="仿宋_GB2312" w:hAnsi="仿宋_GB2312" w:eastAsia="仿宋_GB2312" w:cs="仿宋_GB2312"/>
          <w:color w:val="auto"/>
          <w:sz w:val="32"/>
          <w:szCs w:val="32"/>
        </w:rPr>
        <w:t>县城及城乡结合部堆场、裸露地面</w:t>
      </w:r>
      <w:r>
        <w:rPr>
          <w:rFonts w:hint="eastAsia" w:ascii="Times New Roman" w:hAnsi="Times New Roman" w:eastAsia="仿宋_GB2312" w:cs="仿宋_GB2312"/>
          <w:spacing w:val="-6"/>
          <w:sz w:val="32"/>
          <w:szCs w:val="32"/>
          <w:lang w:val="en" w:eastAsia="zh-CN"/>
        </w:rPr>
        <w:t>进行排查建档并采取防尘措施，</w:t>
      </w:r>
      <w:r>
        <w:rPr>
          <w:rFonts w:hint="eastAsia" w:ascii="仿宋_GB2312" w:hAnsi="仿宋_GB2312" w:eastAsia="仿宋_GB2312" w:cs="仿宋_GB2312"/>
          <w:color w:val="auto"/>
          <w:sz w:val="32"/>
          <w:szCs w:val="32"/>
        </w:rPr>
        <w:t>动态调整县城主次干道机械化清扫作业频次。</w:t>
      </w:r>
      <w:r>
        <w:rPr>
          <w:rFonts w:hint="eastAsia" w:ascii="Times New Roman" w:hAnsi="Times New Roman" w:eastAsia="仿宋_GB2312" w:cs="仿宋_GB2312"/>
          <w:spacing w:val="-6"/>
          <w:sz w:val="32"/>
          <w:szCs w:val="32"/>
          <w:lang w:val="en" w:eastAsia="zh-CN"/>
        </w:rPr>
        <w:t>规范渣土运输车辆管理，落实车辆全密闭运输、出场冲洗保洁制度，</w:t>
      </w:r>
      <w:r>
        <w:rPr>
          <w:rFonts w:hint="eastAsia" w:ascii="仿宋_GB2312" w:hAnsi="仿宋_GB2312" w:eastAsia="仿宋_GB2312" w:cs="仿宋_GB2312"/>
          <w:color w:val="auto"/>
          <w:sz w:val="32"/>
          <w:szCs w:val="32"/>
        </w:rPr>
        <w:t>依法查处</w:t>
      </w:r>
      <w:r>
        <w:rPr>
          <w:rFonts w:hint="eastAsia" w:ascii="Times New Roman" w:hAnsi="Times New Roman" w:eastAsia="仿宋_GB2312" w:cs="仿宋_GB2312"/>
          <w:spacing w:val="-6"/>
          <w:sz w:val="32"/>
          <w:szCs w:val="32"/>
          <w:lang w:val="en" w:eastAsia="zh-CN"/>
        </w:rPr>
        <w:t>渣土运输抛洒滴漏、带泥上路、违规清运等行为。</w:t>
      </w:r>
    </w:p>
    <w:p w14:paraId="43FBB9C6">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lang w:val="en-US" w:eastAsia="zh-CN"/>
        </w:rPr>
        <w:t>推进生活面源污染防治。</w:t>
      </w:r>
      <w:r>
        <w:rPr>
          <w:rFonts w:hint="eastAsia" w:ascii="Times New Roman" w:hAnsi="Times New Roman" w:eastAsia="仿宋_GB2312" w:cs="仿宋_GB2312"/>
          <w:spacing w:val="-6"/>
          <w:sz w:val="32"/>
          <w:szCs w:val="32"/>
          <w:lang w:val="en-US" w:eastAsia="zh-CN"/>
        </w:rPr>
        <w:t>加大煤炭销用环境监管力度，控制销售、使用散煤，因地制宜推进农牧区清洁取暖和散煤清洁能源替代。</w:t>
      </w:r>
    </w:p>
    <w:p w14:paraId="44E320A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imes New Roman" w:hAnsi="Times New Roman" w:eastAsia="仿宋_GB2312" w:cs="仿宋_GB2312"/>
          <w:spacing w:val="-6"/>
          <w:sz w:val="32"/>
          <w:szCs w:val="32"/>
          <w:lang w:val="en"/>
        </w:rPr>
      </w:pPr>
      <w:r>
        <w:rPr>
          <w:rFonts w:hint="eastAsia" w:ascii="Times New Roman" w:hAnsi="Times New Roman" w:eastAsia="仿宋_GB2312" w:cs="仿宋_GB2312"/>
          <w:spacing w:val="-6"/>
          <w:sz w:val="32"/>
          <w:szCs w:val="32"/>
          <w:lang w:val="en-US" w:eastAsia="zh-CN"/>
        </w:rPr>
        <w:t>分批次</w:t>
      </w:r>
      <w:r>
        <w:rPr>
          <w:rFonts w:hint="eastAsia" w:ascii="Times New Roman" w:hAnsi="Times New Roman" w:eastAsia="仿宋_GB2312" w:cs="仿宋_GB2312"/>
          <w:spacing w:val="-6"/>
          <w:sz w:val="32"/>
          <w:szCs w:val="32"/>
          <w:lang w:val="en"/>
        </w:rPr>
        <w:t>推进党政机关、医院、学校等公共机构食堂及大型餐饮单位餐饮油烟治理</w:t>
      </w:r>
      <w:r>
        <w:rPr>
          <w:rFonts w:hint="eastAsia" w:ascii="Times New Roman" w:hAnsi="Times New Roman" w:eastAsia="仿宋_GB2312" w:cs="仿宋_GB2312"/>
          <w:spacing w:val="-6"/>
          <w:sz w:val="32"/>
          <w:szCs w:val="32"/>
          <w:lang w:val="en" w:eastAsia="zh-CN"/>
        </w:rPr>
        <w:t>。</w:t>
      </w:r>
      <w:r>
        <w:rPr>
          <w:rFonts w:hint="eastAsia" w:ascii="Times New Roman" w:hAnsi="Times New Roman" w:eastAsia="仿宋_GB2312" w:cs="仿宋_GB2312"/>
          <w:spacing w:val="-6"/>
          <w:sz w:val="32"/>
          <w:szCs w:val="32"/>
          <w:lang w:val="en-US" w:eastAsia="zh-CN"/>
        </w:rPr>
        <w:t>以</w:t>
      </w:r>
      <w:r>
        <w:rPr>
          <w:rFonts w:hint="eastAsia" w:ascii="Times New Roman" w:hAnsi="Times New Roman" w:eastAsia="仿宋_GB2312" w:cs="仿宋_GB2312"/>
          <w:spacing w:val="-6"/>
          <w:sz w:val="32"/>
          <w:szCs w:val="32"/>
          <w:lang w:val="en" w:eastAsia="zh-CN"/>
        </w:rPr>
        <w:t>县城沿街餐饮</w:t>
      </w:r>
      <w:r>
        <w:rPr>
          <w:rFonts w:hint="eastAsia" w:ascii="Times New Roman" w:hAnsi="Times New Roman" w:eastAsia="仿宋_GB2312" w:cs="仿宋_GB2312"/>
          <w:spacing w:val="-6"/>
          <w:sz w:val="32"/>
          <w:szCs w:val="32"/>
          <w:lang w:val="en-US" w:eastAsia="zh-CN"/>
        </w:rPr>
        <w:t>密集区域为重点，</w:t>
      </w:r>
      <w:r>
        <w:rPr>
          <w:rFonts w:hint="eastAsia" w:ascii="Times New Roman" w:hAnsi="Times New Roman" w:eastAsia="仿宋_GB2312" w:cs="仿宋_GB2312"/>
          <w:spacing w:val="-6"/>
          <w:sz w:val="32"/>
          <w:szCs w:val="32"/>
          <w:lang w:val="en" w:eastAsia="zh-CN"/>
        </w:rPr>
        <w:t>开展餐饮油烟专项排查整治，</w:t>
      </w:r>
      <w:r>
        <w:rPr>
          <w:rFonts w:hint="eastAsia" w:ascii="Times New Roman" w:hAnsi="Times New Roman" w:eastAsia="仿宋_GB2312" w:cs="仿宋_GB2312"/>
          <w:spacing w:val="-6"/>
          <w:sz w:val="32"/>
          <w:szCs w:val="32"/>
          <w:lang w:val="en"/>
        </w:rPr>
        <w:t>督促餐饮业在冬季、夏季强化维护保养油烟净化设施并建立运维台账。城镇规划区等重点区域禁止露天焚烧垃圾和秸秆，建立完善网格化监管体系，开展垃圾和秸秆焚烧专项巡查。合理划定烟花爆竹禁止燃放区，加强重点传统节日期间的宣传引导、巡查执法。进一步教育引导信教群众增强生态环保意识，倡导寺庙及信教群众文明煨桑。</w:t>
      </w:r>
    </w:p>
    <w:p w14:paraId="58918E72">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spacing w:val="-6"/>
          <w:sz w:val="32"/>
          <w:szCs w:val="32"/>
          <w:lang w:val="en" w:eastAsia="zh-CN"/>
        </w:rPr>
      </w:pPr>
      <w:r>
        <w:rPr>
          <w:rFonts w:hint="default" w:ascii="Times New Roman" w:hAnsi="Times New Roman" w:eastAsia="仿宋_GB2312" w:cs="Times New Roman"/>
          <w:b/>
          <w:bCs/>
          <w:color w:val="auto"/>
          <w:spacing w:val="-6"/>
          <w:sz w:val="32"/>
          <w:szCs w:val="32"/>
          <w:lang w:val="en" w:eastAsia="zh-CN"/>
        </w:rPr>
        <w:t>加大噪声污染防治力度。</w:t>
      </w:r>
      <w:r>
        <w:rPr>
          <w:rFonts w:hint="default" w:ascii="Times New Roman" w:hAnsi="Times New Roman" w:eastAsia="仿宋_GB2312" w:cs="Times New Roman"/>
          <w:b w:val="0"/>
          <w:bCs w:val="0"/>
          <w:color w:val="auto"/>
          <w:spacing w:val="-6"/>
          <w:sz w:val="32"/>
          <w:szCs w:val="32"/>
          <w:lang w:val="en" w:eastAsia="zh-CN"/>
        </w:rPr>
        <w:t>推进声环境功能区划分调整与噪声敏感建筑物集中区域划分</w:t>
      </w:r>
      <w:r>
        <w:rPr>
          <w:rFonts w:hint="eastAsia" w:ascii="Times New Roman" w:hAnsi="Times New Roman" w:eastAsia="仿宋_GB2312" w:cs="Times New Roman"/>
          <w:b w:val="0"/>
          <w:bCs w:val="0"/>
          <w:color w:val="auto"/>
          <w:spacing w:val="-6"/>
          <w:sz w:val="32"/>
          <w:szCs w:val="32"/>
          <w:lang w:val="en" w:eastAsia="zh-CN"/>
        </w:rPr>
        <w:t>，</w:t>
      </w:r>
      <w:r>
        <w:rPr>
          <w:rFonts w:hint="eastAsia" w:ascii="Times New Roman" w:hAnsi="Times New Roman" w:eastAsia="仿宋_GB2312" w:cs="仿宋_GB2312"/>
          <w:spacing w:val="0"/>
          <w:sz w:val="32"/>
          <w:szCs w:val="32"/>
          <w:lang w:val="en-US" w:eastAsia="zh-CN"/>
        </w:rPr>
        <w:t>开展</w:t>
      </w:r>
      <w:r>
        <w:rPr>
          <w:rFonts w:hint="eastAsia" w:ascii="Times New Roman" w:hAnsi="Times New Roman" w:eastAsia="仿宋_GB2312" w:cs="仿宋_GB2312"/>
          <w:spacing w:val="0"/>
          <w:sz w:val="32"/>
          <w:szCs w:val="32"/>
          <w:lang w:val="en" w:eastAsia="zh-CN"/>
        </w:rPr>
        <w:t>宁静小区建设。</w:t>
      </w:r>
      <w:r>
        <w:rPr>
          <w:rFonts w:hint="default" w:ascii="Times New Roman" w:hAnsi="Times New Roman" w:eastAsia="仿宋_GB2312" w:cs="Times New Roman"/>
          <w:color w:val="auto"/>
          <w:spacing w:val="-6"/>
          <w:sz w:val="32"/>
          <w:szCs w:val="32"/>
          <w:lang w:val="en" w:eastAsia="zh-CN"/>
        </w:rPr>
        <w:t>在噪声敏感建筑物集中区域禁止新建排放噪声的工业企业。</w:t>
      </w:r>
      <w:r>
        <w:rPr>
          <w:rFonts w:hint="eastAsia" w:ascii="Times New Roman" w:hAnsi="Times New Roman" w:eastAsia="仿宋_GB2312" w:cs="Times New Roman"/>
          <w:color w:val="auto"/>
          <w:spacing w:val="-6"/>
          <w:sz w:val="32"/>
          <w:szCs w:val="32"/>
          <w:lang w:val="en" w:eastAsia="zh-CN"/>
        </w:rPr>
        <w:t>加强建筑施工噪声管控，</w:t>
      </w:r>
      <w:r>
        <w:rPr>
          <w:rFonts w:hint="eastAsia" w:ascii="Times New Roman" w:hAnsi="Times New Roman" w:eastAsia="仿宋_GB2312" w:cs="Times New Roman"/>
          <w:color w:val="auto"/>
          <w:spacing w:val="-6"/>
          <w:sz w:val="32"/>
          <w:szCs w:val="32"/>
          <w:lang w:val="en-US" w:eastAsia="zh-CN"/>
        </w:rPr>
        <w:t>督促施工单位严格落实</w:t>
      </w:r>
      <w:r>
        <w:rPr>
          <w:rFonts w:hint="default" w:ascii="Times New Roman" w:hAnsi="Times New Roman" w:eastAsia="仿宋_GB2312" w:cs="Times New Roman"/>
          <w:color w:val="auto"/>
          <w:spacing w:val="-6"/>
          <w:sz w:val="32"/>
          <w:szCs w:val="32"/>
          <w:lang w:val="en-US" w:eastAsia="zh-CN"/>
        </w:rPr>
        <w:t>噪声污染防治</w:t>
      </w:r>
      <w:r>
        <w:rPr>
          <w:rFonts w:hint="eastAsia" w:ascii="Times New Roman" w:hAnsi="Times New Roman" w:eastAsia="仿宋_GB2312" w:cs="Times New Roman"/>
          <w:color w:val="auto"/>
          <w:spacing w:val="-6"/>
          <w:sz w:val="32"/>
          <w:szCs w:val="32"/>
          <w:lang w:val="en-US" w:eastAsia="zh-CN"/>
        </w:rPr>
        <w:t>措施，</w:t>
      </w:r>
      <w:r>
        <w:rPr>
          <w:rFonts w:hint="default" w:ascii="Times New Roman" w:hAnsi="Times New Roman" w:eastAsia="仿宋_GB2312" w:cs="Times New Roman"/>
          <w:color w:val="auto"/>
          <w:spacing w:val="-6"/>
          <w:sz w:val="32"/>
          <w:szCs w:val="32"/>
          <w:lang w:val="en-US" w:eastAsia="zh-CN"/>
        </w:rPr>
        <w:t>严禁未经审批擅自开展夜间违规施工作业行为</w:t>
      </w:r>
      <w:r>
        <w:rPr>
          <w:rFonts w:hint="eastAsia" w:ascii="Times New Roman" w:hAnsi="Times New Roman" w:eastAsia="仿宋_GB2312" w:cs="Times New Roman"/>
          <w:color w:val="auto"/>
          <w:spacing w:val="-6"/>
          <w:sz w:val="32"/>
          <w:szCs w:val="32"/>
          <w:lang w:val="en-US" w:eastAsia="zh-CN"/>
        </w:rPr>
        <w:t>。加强高音喇叭、广场舞、文化娱乐、餐饮等社会生活噪声管控，禁止在商业经营活动中使用高音喇叭。</w:t>
      </w:r>
      <w:r>
        <w:rPr>
          <w:rFonts w:hint="eastAsia" w:ascii="Times New Roman" w:hAnsi="Times New Roman" w:eastAsia="仿宋_GB2312" w:cs="仿宋_GB2312"/>
          <w:spacing w:val="0"/>
          <w:sz w:val="32"/>
          <w:szCs w:val="32"/>
          <w:lang w:val="en" w:eastAsia="zh-CN"/>
        </w:rPr>
        <w:t>加强交通运输噪声管控，推进道路减速带、隔声屏障等降噪措施建设。</w:t>
      </w:r>
    </w:p>
    <w:p w14:paraId="14B1783E">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 w:eastAsia="zh-CN" w:bidi="ar-SA"/>
        </w:rPr>
      </w:pPr>
      <w:bookmarkStart w:id="70" w:name="_Toc22097"/>
      <w:bookmarkStart w:id="71" w:name="_Toc8655"/>
      <w:bookmarkStart w:id="72" w:name="_Toc23204"/>
      <w:r>
        <w:rPr>
          <w:rFonts w:hint="eastAsia" w:ascii="黑体" w:hAnsi="黑体" w:eastAsia="黑体" w:cs="黑体"/>
          <w:b w:val="0"/>
          <w:bCs w:val="0"/>
          <w:color w:val="auto"/>
          <w:sz w:val="32"/>
          <w:szCs w:val="32"/>
          <w:highlight w:val="none"/>
          <w:lang w:val="en-US" w:eastAsia="zh-CN" w:bidi="ar-SA"/>
        </w:rPr>
        <w:t>二、</w:t>
      </w:r>
      <w:bookmarkEnd w:id="70"/>
      <w:bookmarkEnd w:id="71"/>
      <w:r>
        <w:rPr>
          <w:rFonts w:hint="eastAsia" w:ascii="黑体" w:hAnsi="黑体" w:eastAsia="黑体" w:cs="黑体"/>
          <w:b w:val="0"/>
          <w:bCs w:val="0"/>
          <w:color w:val="auto"/>
          <w:sz w:val="32"/>
          <w:szCs w:val="32"/>
          <w:highlight w:val="none"/>
          <w:lang w:val="en" w:eastAsia="zh-CN" w:bidi="ar-SA"/>
        </w:rPr>
        <w:t>深入打好碧水保卫战</w:t>
      </w:r>
      <w:bookmarkEnd w:id="72"/>
    </w:p>
    <w:p w14:paraId="53CB8404">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73" w:name="_Toc14926"/>
      <w:r>
        <w:rPr>
          <w:rFonts w:hint="eastAsia" w:ascii="楷体" w:hAnsi="楷体" w:eastAsia="楷体" w:cs="楷体"/>
          <w:sz w:val="32"/>
          <w:szCs w:val="32"/>
          <w:lang w:val="en-US" w:eastAsia="zh-CN"/>
        </w:rPr>
        <w:t>（一）深化水环境综合治理</w:t>
      </w:r>
      <w:bookmarkEnd w:id="73"/>
    </w:p>
    <w:p w14:paraId="52379EF6">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lang w:val="en-US" w:eastAsia="zh-CN"/>
        </w:rPr>
        <w:t>严格区控断面水质目标管控。</w:t>
      </w:r>
      <w:r>
        <w:rPr>
          <w:rFonts w:hint="eastAsia" w:ascii="Times New Roman" w:hAnsi="Times New Roman" w:eastAsia="仿宋_GB2312" w:cs="仿宋_GB2312"/>
          <w:spacing w:val="-6"/>
          <w:sz w:val="32"/>
          <w:szCs w:val="32"/>
          <w:lang w:val="en-US" w:eastAsia="zh-CN"/>
        </w:rPr>
        <w:t>常态化开展解曲河流域日常巡查与水质监测，密切关注区控断面水质数据变化。健全水质异常预警响应机制，发现数据异常时，及时启动溯源排查并采取应急处置措施，确保解曲河上游500米处及下游1公里处两个区控断面水质稳定保持或优于《地表水环境质量标准》（GB3838-2002）Ⅱ类标准。</w:t>
      </w:r>
    </w:p>
    <w:p w14:paraId="56BB1DA1">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default" w:ascii="Times New Roman" w:hAnsi="Times New Roman" w:eastAsia="仿宋_GB2312" w:cs="仿宋_GB2312"/>
          <w:color w:val="FF0000"/>
          <w:spacing w:val="-6"/>
          <w:sz w:val="32"/>
          <w:szCs w:val="32"/>
          <w:lang w:val="en-US" w:eastAsia="zh-CN"/>
        </w:rPr>
      </w:pPr>
      <w:r>
        <w:rPr>
          <w:rFonts w:hint="eastAsia" w:ascii="Times New Roman" w:hAnsi="Times New Roman" w:eastAsia="仿宋_GB2312" w:cs="仿宋_GB2312"/>
          <w:b/>
          <w:bCs/>
          <w:spacing w:val="-6"/>
          <w:sz w:val="32"/>
          <w:szCs w:val="32"/>
          <w:lang w:val="en-US" w:eastAsia="zh-CN"/>
        </w:rPr>
        <w:t>加强城镇污水处理设施建设及运维管理。</w:t>
      </w:r>
      <w:r>
        <w:rPr>
          <w:rFonts w:hint="eastAsia" w:ascii="Times New Roman" w:hAnsi="Times New Roman" w:eastAsia="仿宋_GB2312" w:cs="仿宋_GB2312"/>
          <w:b w:val="0"/>
          <w:bCs w:val="0"/>
          <w:spacing w:val="-6"/>
          <w:sz w:val="32"/>
          <w:szCs w:val="32"/>
          <w:lang w:val="en-US" w:eastAsia="zh-CN"/>
        </w:rPr>
        <w:t>开展城市体检工作，掌握</w:t>
      </w:r>
      <w:r>
        <w:rPr>
          <w:rFonts w:hint="eastAsia" w:ascii="Times New Roman" w:hAnsi="Times New Roman" w:eastAsia="仿宋_GB2312" w:cs="仿宋_GB2312"/>
          <w:b w:val="0"/>
          <w:bCs w:val="0"/>
          <w:spacing w:val="-6"/>
          <w:sz w:val="32"/>
          <w:szCs w:val="32"/>
        </w:rPr>
        <w:t>排污管网病害情况</w:t>
      </w:r>
      <w:r>
        <w:rPr>
          <w:rFonts w:hint="eastAsia" w:ascii="Times New Roman" w:hAnsi="Times New Roman" w:eastAsia="仿宋_GB2312" w:cs="仿宋_GB2312"/>
          <w:b w:val="0"/>
          <w:bCs w:val="0"/>
          <w:spacing w:val="-6"/>
          <w:sz w:val="32"/>
          <w:szCs w:val="32"/>
          <w:lang w:eastAsia="zh-CN"/>
        </w:rPr>
        <w:t>。</w:t>
      </w:r>
      <w:r>
        <w:rPr>
          <w:rFonts w:hint="eastAsia" w:ascii="Times New Roman" w:hAnsi="Times New Roman" w:eastAsia="仿宋_GB2312" w:cs="仿宋_GB2312"/>
          <w:spacing w:val="-6"/>
          <w:sz w:val="32"/>
          <w:szCs w:val="32"/>
          <w:lang w:val="en-US" w:eastAsia="zh-CN"/>
        </w:rPr>
        <w:t>加快推进县城供排水管网更新改造及老城区雨污分流工程，完成丁青县县城污水处理厂二期项目。完善觉恩等11个乡镇污水管网及配套处理设施，切实提升污水收集与处置能力。</w:t>
      </w:r>
      <w:r>
        <w:rPr>
          <w:rFonts w:hint="eastAsia" w:ascii="Times New Roman" w:hAnsi="Times New Roman" w:eastAsia="仿宋_GB2312" w:cs="仿宋_GB2312"/>
          <w:spacing w:val="-6"/>
          <w:sz w:val="32"/>
          <w:szCs w:val="32"/>
          <w:lang w:val="en" w:eastAsia="zh-CN"/>
        </w:rPr>
        <w:t>开展入河排污口“查、测、溯、治”，按要求完成纳入监管清单的排污口整治验收</w:t>
      </w:r>
      <w:r>
        <w:rPr>
          <w:rFonts w:hint="eastAsia" w:ascii="Times New Roman" w:hAnsi="Times New Roman" w:eastAsia="仿宋_GB2312" w:cs="仿宋_GB2312"/>
          <w:spacing w:val="-6"/>
          <w:sz w:val="32"/>
          <w:szCs w:val="32"/>
          <w:lang w:val="en-US" w:eastAsia="zh-CN"/>
        </w:rPr>
        <w:t>与</w:t>
      </w:r>
      <w:r>
        <w:rPr>
          <w:rFonts w:hint="eastAsia" w:ascii="Times New Roman" w:hAnsi="Times New Roman" w:eastAsia="仿宋_GB2312" w:cs="仿宋_GB2312"/>
          <w:spacing w:val="-6"/>
          <w:sz w:val="32"/>
          <w:szCs w:val="32"/>
          <w:lang w:val="en" w:eastAsia="zh-CN"/>
        </w:rPr>
        <w:t>销号，</w:t>
      </w:r>
      <w:r>
        <w:rPr>
          <w:rFonts w:hint="eastAsia" w:ascii="Times New Roman" w:hAnsi="Times New Roman" w:eastAsia="仿宋_GB2312" w:cs="仿宋_GB2312"/>
          <w:spacing w:val="-6"/>
          <w:sz w:val="32"/>
          <w:szCs w:val="32"/>
          <w:lang w:val="en-US" w:eastAsia="zh-CN"/>
        </w:rPr>
        <w:t>建立常态化巡查、监测机制。强化城乡生活污水处理设施及在线监测设施规范化运维，健全日常巡查、定期检修、常态管护制度，及时排查整改运行故障，确保设施稳定达标运行。</w:t>
      </w:r>
    </w:p>
    <w:p w14:paraId="60FA8911">
      <w:pPr>
        <w:keepNext w:val="0"/>
        <w:keepLines w:val="0"/>
        <w:pageBreakBefore w:val="0"/>
        <w:widowControl w:val="0"/>
        <w:kinsoku/>
        <w:wordWrap/>
        <w:overflowPunct/>
        <w:topLinePunct w:val="0"/>
        <w:autoSpaceDE/>
        <w:autoSpaceDN/>
        <w:bidi w:val="0"/>
        <w:adjustRightInd w:val="0"/>
        <w:snapToGrid w:val="0"/>
        <w:spacing w:line="560" w:lineRule="exact"/>
        <w:ind w:firstLine="619" w:firstLineChars="200"/>
        <w:textAlignment w:val="auto"/>
        <w:rPr>
          <w:rFonts w:hint="default" w:ascii="Times New Roman" w:hAnsi="Times New Roman" w:eastAsia="仿宋_GB2312" w:cs="仿宋_GB2312"/>
          <w:spacing w:val="0"/>
          <w:sz w:val="32"/>
          <w:szCs w:val="32"/>
          <w:lang w:val="en-US" w:eastAsia="zh-CN"/>
        </w:rPr>
      </w:pPr>
      <w:r>
        <w:rPr>
          <w:rFonts w:hint="eastAsia" w:ascii="Times New Roman" w:hAnsi="Times New Roman" w:eastAsia="仿宋_GB2312" w:cs="仿宋_GB2312"/>
          <w:b/>
          <w:bCs/>
          <w:spacing w:val="-6"/>
          <w:sz w:val="32"/>
          <w:szCs w:val="32"/>
          <w:highlight w:val="none"/>
          <w:lang w:val="en"/>
        </w:rPr>
        <w:t>系统推进生产生活水污染防治</w:t>
      </w:r>
      <w:r>
        <w:rPr>
          <w:rFonts w:hint="eastAsia" w:ascii="Times New Roman" w:hAnsi="Times New Roman" w:eastAsia="仿宋_GB2312" w:cs="仿宋_GB2312"/>
          <w:b/>
          <w:bCs/>
          <w:spacing w:val="-6"/>
          <w:sz w:val="32"/>
          <w:szCs w:val="32"/>
          <w:highlight w:val="none"/>
          <w:lang w:val="en" w:eastAsia="zh-CN"/>
        </w:rPr>
        <w:t>。</w:t>
      </w:r>
      <w:r>
        <w:rPr>
          <w:rFonts w:hint="eastAsia" w:ascii="Times New Roman" w:hAnsi="Times New Roman" w:eastAsia="仿宋_GB2312" w:cs="仿宋_GB2312"/>
          <w:spacing w:val="0"/>
          <w:sz w:val="32"/>
          <w:szCs w:val="32"/>
          <w:lang w:val="en-US" w:eastAsia="zh-CN"/>
        </w:rPr>
        <w:t>加大群众身边小微水体保护治理力度，协同遏制产生县城和农村黑臭水体。</w:t>
      </w:r>
      <w:r>
        <w:rPr>
          <w:rFonts w:hint="eastAsia" w:ascii="Times New Roman" w:hAnsi="Times New Roman" w:eastAsia="仿宋_GB2312" w:cs="仿宋_GB2312"/>
          <w:spacing w:val="-6"/>
          <w:sz w:val="32"/>
          <w:szCs w:val="32"/>
          <w:lang w:val="en-US" w:eastAsia="zh-CN"/>
        </w:rPr>
        <w:t>建立健全</w:t>
      </w:r>
      <w:r>
        <w:rPr>
          <w:rFonts w:hint="eastAsia" w:ascii="Times New Roman" w:hAnsi="Times New Roman" w:eastAsia="仿宋_GB2312" w:cs="仿宋_GB2312"/>
          <w:spacing w:val="0"/>
          <w:sz w:val="32"/>
          <w:szCs w:val="32"/>
          <w:lang w:val="en" w:eastAsia="zh-CN"/>
        </w:rPr>
        <w:t>汽车清洗维修、餐饮</w:t>
      </w:r>
      <w:r>
        <w:rPr>
          <w:rFonts w:hint="eastAsia" w:ascii="Times New Roman" w:hAnsi="Times New Roman" w:eastAsia="仿宋_GB2312" w:cs="仿宋_GB2312"/>
          <w:spacing w:val="0"/>
          <w:sz w:val="32"/>
          <w:szCs w:val="32"/>
          <w:lang w:val="en-US" w:eastAsia="zh-CN"/>
        </w:rPr>
        <w:t>单位</w:t>
      </w:r>
      <w:r>
        <w:rPr>
          <w:rFonts w:hint="eastAsia" w:ascii="Times New Roman" w:hAnsi="Times New Roman" w:eastAsia="仿宋_GB2312" w:cs="仿宋_GB2312"/>
          <w:spacing w:val="0"/>
          <w:sz w:val="32"/>
          <w:szCs w:val="32"/>
          <w:lang w:val="en" w:eastAsia="zh-CN"/>
        </w:rPr>
        <w:t>、</w:t>
      </w:r>
      <w:r>
        <w:rPr>
          <w:rFonts w:hint="eastAsia" w:ascii="Times New Roman" w:hAnsi="Times New Roman" w:eastAsia="仿宋_GB2312" w:cs="仿宋_GB2312"/>
          <w:spacing w:val="0"/>
          <w:sz w:val="32"/>
          <w:szCs w:val="32"/>
          <w:lang w:val="en-US" w:eastAsia="zh-CN"/>
        </w:rPr>
        <w:t>文旅服务</w:t>
      </w:r>
      <w:r>
        <w:rPr>
          <w:rFonts w:hint="eastAsia" w:ascii="Times New Roman" w:hAnsi="Times New Roman" w:eastAsia="仿宋_GB2312" w:cs="仿宋_GB2312"/>
          <w:spacing w:val="0"/>
          <w:sz w:val="32"/>
          <w:szCs w:val="32"/>
          <w:lang w:val="en" w:eastAsia="zh-CN"/>
        </w:rPr>
        <w:t>等</w:t>
      </w:r>
      <w:r>
        <w:rPr>
          <w:rFonts w:hint="eastAsia" w:ascii="Times New Roman" w:hAnsi="Times New Roman" w:eastAsia="仿宋_GB2312" w:cs="仿宋_GB2312"/>
          <w:spacing w:val="0"/>
          <w:sz w:val="32"/>
          <w:szCs w:val="32"/>
          <w:lang w:val="en-US" w:eastAsia="zh-CN"/>
        </w:rPr>
        <w:t>服务业</w:t>
      </w:r>
      <w:r>
        <w:rPr>
          <w:rFonts w:hint="eastAsia" w:ascii="Times New Roman" w:hAnsi="Times New Roman" w:eastAsia="仿宋_GB2312" w:cs="仿宋_GB2312"/>
          <w:spacing w:val="0"/>
          <w:sz w:val="32"/>
          <w:szCs w:val="32"/>
          <w:lang w:val="en" w:eastAsia="zh-CN"/>
        </w:rPr>
        <w:t>单位管理台账，加大沿街、</w:t>
      </w:r>
      <w:r>
        <w:rPr>
          <w:rFonts w:hint="eastAsia" w:ascii="Times New Roman" w:hAnsi="Times New Roman" w:eastAsia="仿宋_GB2312" w:cs="仿宋_GB2312"/>
          <w:spacing w:val="0"/>
          <w:sz w:val="32"/>
          <w:szCs w:val="32"/>
          <w:lang w:val="en-US" w:eastAsia="zh-CN"/>
        </w:rPr>
        <w:t>沿马路</w:t>
      </w:r>
      <w:r>
        <w:rPr>
          <w:rFonts w:hint="eastAsia" w:ascii="Times New Roman" w:hAnsi="Times New Roman" w:eastAsia="仿宋_GB2312" w:cs="仿宋_GB2312"/>
          <w:spacing w:val="0"/>
          <w:sz w:val="32"/>
          <w:szCs w:val="32"/>
          <w:lang w:val="en" w:eastAsia="zh-CN"/>
        </w:rPr>
        <w:t>区域排查力度，对私拉乱接</w:t>
      </w:r>
      <w:r>
        <w:rPr>
          <w:rFonts w:hint="eastAsia" w:ascii="Times New Roman" w:hAnsi="Times New Roman" w:eastAsia="仿宋_GB2312" w:cs="仿宋_GB2312"/>
          <w:spacing w:val="0"/>
          <w:sz w:val="32"/>
          <w:szCs w:val="32"/>
          <w:lang w:val="en-US" w:eastAsia="zh-CN"/>
        </w:rPr>
        <w:t>排水管网、随意排污</w:t>
      </w:r>
      <w:r>
        <w:rPr>
          <w:rFonts w:hint="eastAsia" w:ascii="Times New Roman" w:hAnsi="Times New Roman" w:eastAsia="仿宋_GB2312" w:cs="仿宋_GB2312"/>
          <w:spacing w:val="0"/>
          <w:sz w:val="32"/>
          <w:szCs w:val="32"/>
          <w:lang w:val="en" w:eastAsia="zh-CN"/>
        </w:rPr>
        <w:t>等问题逐一建档，依规依法完成整改。</w:t>
      </w:r>
      <w:r>
        <w:rPr>
          <w:rFonts w:hint="eastAsia" w:ascii="Times New Roman" w:hAnsi="Times New Roman" w:eastAsia="仿宋_GB2312" w:cs="仿宋_GB2312"/>
          <w:spacing w:val="0"/>
          <w:sz w:val="32"/>
          <w:szCs w:val="32"/>
          <w:lang w:val="en-US" w:eastAsia="zh-CN"/>
        </w:rPr>
        <w:t>强化</w:t>
      </w:r>
      <w:r>
        <w:rPr>
          <w:rFonts w:hint="eastAsia" w:ascii="Times New Roman" w:hAnsi="Times New Roman" w:eastAsia="仿宋_GB2312" w:cs="仿宋_GB2312"/>
          <w:spacing w:val="0"/>
          <w:sz w:val="32"/>
          <w:szCs w:val="32"/>
          <w:lang w:val="en" w:eastAsia="zh-CN"/>
        </w:rPr>
        <w:t>施工营地</w:t>
      </w:r>
      <w:r>
        <w:rPr>
          <w:rFonts w:hint="eastAsia" w:ascii="Times New Roman" w:hAnsi="Times New Roman" w:eastAsia="仿宋_GB2312" w:cs="仿宋_GB2312"/>
          <w:spacing w:val="0"/>
          <w:sz w:val="32"/>
          <w:szCs w:val="32"/>
          <w:lang w:val="en-US" w:eastAsia="zh-CN"/>
        </w:rPr>
        <w:t>监管，规范施工营地雨污水排水接管，强化营地生活污水治理。强化医疗机构污水治理执法监管，规范废液、污泥处置，确保污水设施稳定运行达标排放。</w:t>
      </w:r>
    </w:p>
    <w:p w14:paraId="24187F68">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74" w:name="_Toc18287"/>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提升水资源保护水平</w:t>
      </w:r>
      <w:bookmarkEnd w:id="74"/>
    </w:p>
    <w:p w14:paraId="3D750C5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b/>
          <w:bCs/>
          <w:color w:val="auto"/>
          <w:spacing w:val="-6"/>
          <w:kern w:val="2"/>
          <w:sz w:val="32"/>
          <w:szCs w:val="32"/>
          <w:lang w:val="en-US" w:eastAsia="zh-CN" w:bidi="ar-SA"/>
        </w:rPr>
      </w:pPr>
      <w:r>
        <w:rPr>
          <w:rFonts w:hint="eastAsia" w:ascii="Times New Roman" w:hAnsi="Times New Roman" w:eastAsia="仿宋_GB2312" w:cs="仿宋_GB2312"/>
          <w:b/>
          <w:bCs/>
          <w:spacing w:val="-6"/>
          <w:kern w:val="2"/>
          <w:sz w:val="32"/>
          <w:szCs w:val="32"/>
          <w:lang w:val="en-US" w:eastAsia="zh-CN" w:bidi="ar-SA"/>
        </w:rPr>
        <w:t>优化水资源管理。</w:t>
      </w:r>
      <w:r>
        <w:rPr>
          <w:rFonts w:hint="eastAsia" w:ascii="Times New Roman" w:hAnsi="Times New Roman" w:eastAsia="仿宋_GB2312" w:cs="仿宋_GB2312"/>
          <w:spacing w:val="-6"/>
          <w:kern w:val="2"/>
          <w:sz w:val="32"/>
          <w:szCs w:val="32"/>
          <w:lang w:val="en-US" w:eastAsia="zh-CN" w:bidi="ar-SA"/>
        </w:rPr>
        <w:t>严格落实水资源开发利用控制、用水效率控制和水功能区限制纳污“三条红线”，强化用水总量和强度双控管理。加强建设项目水资源论证和取水许可事中事后监管。积极推动农业节水增效、工业节水减排、城镇节水降损，做好用水定额管理与评估，推进节水型社会建设。按照市级统一部署，开展当堆水电站、桑多水电站等水利水电工程生态流量确定（核定），配合市级部门推动小水电生态流量监管平台建设，落实河湖生态流量监测预警机制</w:t>
      </w:r>
      <w:r>
        <w:rPr>
          <w:rFonts w:hint="eastAsia" w:ascii="Times New Roman" w:hAnsi="Times New Roman" w:eastAsia="仿宋_GB2312" w:cs="仿宋_GB2312"/>
          <w:spacing w:val="-6"/>
          <w:kern w:val="2"/>
          <w:sz w:val="32"/>
          <w:szCs w:val="32"/>
          <w:lang w:val="en" w:eastAsia="zh-CN" w:bidi="ar-SA"/>
        </w:rPr>
        <w:t>，</w:t>
      </w:r>
      <w:r>
        <w:rPr>
          <w:rFonts w:hint="eastAsia" w:ascii="Times New Roman" w:hAnsi="Times New Roman" w:eastAsia="仿宋_GB2312" w:cs="仿宋_GB2312"/>
          <w:color w:val="auto"/>
          <w:spacing w:val="-6"/>
          <w:kern w:val="2"/>
          <w:sz w:val="32"/>
          <w:szCs w:val="32"/>
          <w:lang w:val="en" w:eastAsia="zh-CN" w:bidi="ar-SA"/>
        </w:rPr>
        <w:t>重点河湖基本生态流量保障率保持90%以上。实施小型农田水利重点县维修工程，推进巴达乡、嘎塔乡等乡镇集中供水工程建设。加快丁青县觉恩乡金卡灌区工程建设。</w:t>
      </w:r>
    </w:p>
    <w:p w14:paraId="42D72A8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lang w:val="en-US" w:eastAsia="zh-CN"/>
        </w:rPr>
        <w:t>深化饮用水水源地保护。</w:t>
      </w:r>
      <w:r>
        <w:rPr>
          <w:rFonts w:hint="eastAsia" w:ascii="Times New Roman" w:hAnsi="Times New Roman" w:eastAsia="仿宋_GB2312" w:cs="仿宋_GB2312"/>
          <w:spacing w:val="-6"/>
          <w:sz w:val="32"/>
          <w:szCs w:val="32"/>
          <w:lang w:val="en" w:eastAsia="zh-CN"/>
        </w:rPr>
        <w:t>巩固</w:t>
      </w:r>
      <w:r>
        <w:rPr>
          <w:rFonts w:hint="eastAsia" w:ascii="Times New Roman" w:hAnsi="Times New Roman" w:eastAsia="仿宋_GB2312" w:cs="仿宋_GB2312"/>
          <w:spacing w:val="-6"/>
          <w:sz w:val="32"/>
          <w:szCs w:val="32"/>
          <w:lang w:val="en-US" w:eastAsia="zh-CN"/>
        </w:rPr>
        <w:t>提升丁青县格仁村水厂水源地</w:t>
      </w:r>
      <w:r>
        <w:rPr>
          <w:rFonts w:hint="eastAsia" w:ascii="Times New Roman" w:hAnsi="Times New Roman" w:eastAsia="仿宋_GB2312" w:cs="仿宋_GB2312"/>
          <w:spacing w:val="-6"/>
          <w:sz w:val="32"/>
          <w:szCs w:val="32"/>
          <w:lang w:val="en" w:eastAsia="zh-CN"/>
        </w:rPr>
        <w:t>规范化建设成效，</w:t>
      </w:r>
      <w:r>
        <w:rPr>
          <w:rFonts w:hint="eastAsia" w:ascii="Times New Roman" w:hAnsi="Times New Roman" w:eastAsia="仿宋_GB2312" w:cs="仿宋_GB2312"/>
          <w:spacing w:val="-6"/>
          <w:sz w:val="32"/>
          <w:szCs w:val="32"/>
          <w:lang w:val="en-US" w:eastAsia="zh-CN"/>
        </w:rPr>
        <w:t>常态化开展水源地周边环境隐患问题排查与整治；推动乡镇级饮用水水源地规范化建设，完善隔离防护、警示宣传等设施。逐步推进农村分散式饮用水水源保护范围划定，保障农村饮水安全。</w:t>
      </w:r>
      <w:r>
        <w:rPr>
          <w:rFonts w:hint="eastAsia" w:ascii="Times New Roman" w:hAnsi="Times New Roman" w:eastAsia="仿宋_GB2312" w:cs="仿宋_GB2312"/>
          <w:spacing w:val="-6"/>
          <w:kern w:val="2"/>
          <w:sz w:val="32"/>
          <w:szCs w:val="32"/>
          <w:lang w:val="en-US" w:eastAsia="zh-CN" w:bidi="ar-SA"/>
        </w:rPr>
        <w:t>开展集中式饮用水源地水质专项调查，加强监测数据分析研判，评估水质安全状况。</w:t>
      </w:r>
      <w:r>
        <w:rPr>
          <w:rFonts w:hint="eastAsia" w:ascii="Times New Roman" w:hAnsi="Times New Roman" w:eastAsia="仿宋_GB2312" w:cs="仿宋_GB2312"/>
          <w:spacing w:val="-6"/>
          <w:kern w:val="2"/>
          <w:sz w:val="32"/>
          <w:szCs w:val="32"/>
          <w:highlight w:val="none"/>
          <w:lang w:val="en-US" w:eastAsia="zh-CN" w:bidi="ar-SA"/>
        </w:rPr>
        <w:t>持续强化水源地巡查监管，开展集中式水源地环境状况评估，推动问题整改。</w:t>
      </w:r>
    </w:p>
    <w:p w14:paraId="20E0D8C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75" w:name="_Toc11744"/>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实施水生态保护修复</w:t>
      </w:r>
      <w:bookmarkEnd w:id="75"/>
    </w:p>
    <w:p w14:paraId="09287982">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推动实施布托湖、色曲（嘎曲）、雍达曲、打曲等流域生态保护修复工程，通过河道生态缓冲带构建、岸坡生态化改造、水生植被恢复等措施，提升流域水生态系统功能。严格落实《西藏自治区河道采砂管理办法》</w:t>
      </w:r>
      <w:r>
        <w:rPr>
          <w:rFonts w:hint="eastAsia" w:ascii="Times New Roman" w:hAnsi="Times New Roman" w:eastAsia="仿宋_GB2312" w:cs="仿宋_GB2312"/>
          <w:spacing w:val="-6"/>
          <w:sz w:val="32"/>
          <w:szCs w:val="32"/>
        </w:rPr>
        <w:t>《昌都市河道采砂管理条例》</w:t>
      </w:r>
      <w:r>
        <w:rPr>
          <w:rFonts w:hint="eastAsia" w:ascii="Times New Roman" w:hAnsi="Times New Roman" w:eastAsia="仿宋_GB2312" w:cs="仿宋_GB2312"/>
          <w:spacing w:val="-6"/>
          <w:sz w:val="32"/>
          <w:szCs w:val="32"/>
          <w:lang w:val="en-US" w:eastAsia="zh-CN"/>
        </w:rPr>
        <w:t>，规范河道采砂行为，严格采砂许可管理与审批，坚决杜绝禁采期开采、超范围、超量开采等现象。强化采砂企业日常监管，对采砂许可证过期仍违规采砂、砂石料乱堆乱占侵占河道及防洪堤、未依法缴纳水土保持补偿费等突出问题，建立问题清单并限期整改。深入开展河湖“清四乱”专项整治，全面排查整治各类涉水乱象，严厉打击整治涉水违法犯罪行为。充分发挥水生态保护岗位人员作用，常态化开展辖区河流日常巡查与垃圾清理。</w:t>
      </w:r>
    </w:p>
    <w:p w14:paraId="68EE57D3">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76" w:name="_Toc6669"/>
      <w:bookmarkStart w:id="77" w:name="_Toc4346"/>
      <w:bookmarkStart w:id="78" w:name="_Toc23169"/>
      <w:r>
        <w:rPr>
          <w:rFonts w:hint="eastAsia" w:ascii="黑体" w:hAnsi="黑体" w:eastAsia="黑体" w:cs="黑体"/>
          <w:b w:val="0"/>
          <w:bCs w:val="0"/>
          <w:color w:val="auto"/>
          <w:sz w:val="32"/>
          <w:szCs w:val="32"/>
          <w:highlight w:val="none"/>
          <w:lang w:val="en-US" w:eastAsia="zh-CN" w:bidi="ar-SA"/>
        </w:rPr>
        <w:t>三、</w:t>
      </w:r>
      <w:bookmarkEnd w:id="76"/>
      <w:bookmarkEnd w:id="77"/>
      <w:r>
        <w:rPr>
          <w:rFonts w:hint="eastAsia" w:ascii="黑体" w:hAnsi="黑体" w:eastAsia="黑体" w:cs="黑体"/>
          <w:b w:val="0"/>
          <w:bCs w:val="0"/>
          <w:color w:val="auto"/>
          <w:sz w:val="32"/>
          <w:szCs w:val="32"/>
          <w:highlight w:val="none"/>
          <w:lang w:val="en" w:eastAsia="zh-CN" w:bidi="ar-SA"/>
        </w:rPr>
        <w:t>深化打好净土保卫战</w:t>
      </w:r>
      <w:bookmarkEnd w:id="78"/>
    </w:p>
    <w:p w14:paraId="211FD04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79" w:name="_Toc22638"/>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val="en" w:eastAsia="zh-CN"/>
        </w:rPr>
        <w:t>）强化建设用地风险管控</w:t>
      </w:r>
      <w:bookmarkEnd w:id="79"/>
    </w:p>
    <w:p w14:paraId="626611CB">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 w:cs="Times New Roman"/>
          <w:sz w:val="32"/>
          <w:szCs w:val="40"/>
          <w:lang w:val="en-US" w:eastAsia="zh-CN"/>
        </w:rPr>
      </w:pPr>
      <w:r>
        <w:rPr>
          <w:rFonts w:hint="eastAsia" w:ascii="Times New Roman" w:hAnsi="Times New Roman" w:eastAsia="仿宋_GB2312" w:cs="仿宋_GB2312"/>
          <w:spacing w:val="-6"/>
          <w:sz w:val="32"/>
          <w:szCs w:val="32"/>
          <w:lang w:val="en-US" w:eastAsia="zh-CN"/>
        </w:rPr>
        <w:t>严格住宅、公共管理与公共服务建设用地准入管理，落实《建设用地土壤污染状况调查、风险评估、风险管控及修复效果评估报告评审指南》《昌都市建设用地土壤污染状况调查报告评审工作指南》等要求，依法对用途变更为“一住两公”地块以及腾退工矿企业用地开展土壤污染状况调查和风险评估，保障建设用地安全利用。推动国土空间规划、土地用途管制、土壤环境管理等多源数据共享，将建设用地土壤环境管理要求纳入供地管理，确保土地开发利用必须符合土壤环境质量要求。加强丁青县县城生活垃圾卫生填埋场等纳入昌都市土壤污染重点监管单位名录的企业监管，督促按照排污许可证规定和标准规范落实控制有毒有害物质排放、土壤污染隐患排查、自行监测等要求，将土壤污染防治纳入环境风险防控体系，严格依法依规建设和运营污染治理设施。</w:t>
      </w:r>
    </w:p>
    <w:p w14:paraId="4CEA2479">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80" w:name="_Toc10279"/>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val="en" w:eastAsia="zh-CN"/>
        </w:rPr>
        <w:t>）</w:t>
      </w:r>
      <w:r>
        <w:rPr>
          <w:rFonts w:hint="eastAsia" w:ascii="楷体" w:hAnsi="楷体" w:eastAsia="楷体" w:cs="楷体"/>
          <w:sz w:val="32"/>
          <w:szCs w:val="32"/>
          <w:lang w:val="en-US" w:eastAsia="zh-CN"/>
        </w:rPr>
        <w:t>加强农用地生态环境保护</w:t>
      </w:r>
      <w:bookmarkEnd w:id="80"/>
    </w:p>
    <w:p w14:paraId="199219A6">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color w:val="auto"/>
          <w:spacing w:val="-6"/>
          <w:sz w:val="32"/>
          <w:szCs w:val="32"/>
          <w:lang w:val="en-US" w:eastAsia="zh-CN"/>
        </w:rPr>
      </w:pPr>
      <w:r>
        <w:rPr>
          <w:rFonts w:hint="eastAsia" w:ascii="Times New Roman" w:hAnsi="Times New Roman" w:eastAsia="仿宋_GB2312" w:cs="仿宋_GB2312"/>
          <w:b w:val="0"/>
          <w:bCs w:val="0"/>
          <w:spacing w:val="-6"/>
          <w:sz w:val="32"/>
          <w:szCs w:val="32"/>
          <w:lang w:val="en-US" w:eastAsia="zh-CN"/>
        </w:rPr>
        <w:t>严格落实农用地分类管控要求</w:t>
      </w:r>
      <w:r>
        <w:rPr>
          <w:rFonts w:hint="eastAsia" w:ascii="Times New Roman" w:hAnsi="Times New Roman" w:eastAsia="仿宋_GB2312" w:cs="仿宋_GB2312"/>
          <w:spacing w:val="-6"/>
          <w:sz w:val="32"/>
          <w:szCs w:val="32"/>
          <w:lang w:val="en-US" w:eastAsia="zh-CN"/>
        </w:rPr>
        <w:t>，配合上级部门动态调整优先保护类、安全利用类和严格管控类农用地的数量和边界。加强优先保护类耕地土壤环境质量监测和保护，强化严格管控类耕地风险管控措施落实情况监管，因地制宜制定安全利用方案，扎实推进受污染耕地安全利用和风险管控。开展耕地有机质提升行动，落实用地养地措施，合理增施有机肥，推进秸秆和粪肥还田。按照市级统一部署，强化受污染农用地溯源整治，推进农用地土壤重金属污染溯源和整治全覆盖。充分利用第三次全国土壤普查成果，建立丁青县土壤三普应用平台，将普查数据应用于农用地分类管控、耕地质量提升和受污染耕地安全利用等工作。</w:t>
      </w:r>
      <w:r>
        <w:rPr>
          <w:rFonts w:hint="eastAsia" w:ascii="Times New Roman" w:hAnsi="Times New Roman" w:eastAsia="仿宋_GB2312" w:cs="仿宋_GB2312"/>
          <w:color w:val="auto"/>
          <w:spacing w:val="-6"/>
          <w:sz w:val="32"/>
          <w:szCs w:val="32"/>
          <w:lang w:val="en-US" w:eastAsia="zh-CN"/>
        </w:rPr>
        <w:t>到2030年，受污染耕地安全利用率保持95%以上。</w:t>
      </w:r>
    </w:p>
    <w:p w14:paraId="20D9148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81" w:name="_Toc7599"/>
      <w:r>
        <w:rPr>
          <w:rFonts w:hint="eastAsia" w:ascii="楷体" w:hAnsi="楷体" w:eastAsia="楷体" w:cs="楷体"/>
          <w:sz w:val="32"/>
          <w:szCs w:val="32"/>
          <w:lang w:val="en-US" w:eastAsia="zh-CN"/>
        </w:rPr>
        <w:t>（三）深化地下水污染协同防治</w:t>
      </w:r>
      <w:bookmarkEnd w:id="81"/>
    </w:p>
    <w:p w14:paraId="72A1BC55">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b w:val="0"/>
          <w:bCs w:val="0"/>
          <w:spacing w:val="-6"/>
          <w:sz w:val="32"/>
          <w:szCs w:val="32"/>
          <w:lang w:val="en-US" w:eastAsia="zh-CN"/>
        </w:rPr>
      </w:pPr>
      <w:r>
        <w:rPr>
          <w:rFonts w:hint="eastAsia" w:ascii="Times New Roman" w:hAnsi="Times New Roman" w:eastAsia="仿宋_GB2312" w:cs="仿宋_GB2312"/>
          <w:b w:val="0"/>
          <w:bCs w:val="0"/>
          <w:spacing w:val="-6"/>
          <w:sz w:val="32"/>
          <w:szCs w:val="32"/>
          <w:lang w:val="en-US" w:eastAsia="zh-CN"/>
        </w:rPr>
        <w:t>配合市级部门开展</w:t>
      </w:r>
      <w:r>
        <w:rPr>
          <w:rFonts w:hint="default" w:ascii="Times New Roman" w:hAnsi="Times New Roman" w:eastAsia="仿宋_GB2312" w:cs="仿宋_GB2312"/>
          <w:b w:val="0"/>
          <w:bCs w:val="0"/>
          <w:spacing w:val="-6"/>
          <w:sz w:val="32"/>
          <w:szCs w:val="32"/>
          <w:lang w:val="en-US" w:eastAsia="zh-CN"/>
        </w:rPr>
        <w:t>地下水环境状况调查评估</w:t>
      </w:r>
      <w:r>
        <w:rPr>
          <w:rFonts w:hint="eastAsia" w:ascii="Times New Roman" w:hAnsi="Times New Roman" w:eastAsia="仿宋_GB2312" w:cs="仿宋_GB2312"/>
          <w:b w:val="0"/>
          <w:bCs w:val="0"/>
          <w:spacing w:val="-6"/>
          <w:sz w:val="32"/>
          <w:szCs w:val="32"/>
          <w:lang w:val="en-US" w:eastAsia="zh-CN"/>
        </w:rPr>
        <w:t>成果运用，</w:t>
      </w:r>
      <w:r>
        <w:rPr>
          <w:rFonts w:hint="default" w:ascii="Times New Roman" w:hAnsi="Times New Roman" w:eastAsia="仿宋_GB2312" w:cs="仿宋_GB2312"/>
          <w:b w:val="0"/>
          <w:bCs w:val="0"/>
          <w:spacing w:val="-6"/>
          <w:sz w:val="32"/>
          <w:szCs w:val="32"/>
          <w:lang w:val="en-US" w:eastAsia="zh-CN"/>
        </w:rPr>
        <w:t>以生活垃圾填埋场、加油站、重点工业企业等周边地区为重点，</w:t>
      </w:r>
      <w:r>
        <w:rPr>
          <w:rFonts w:hint="eastAsia" w:ascii="Times New Roman" w:hAnsi="Times New Roman" w:eastAsia="仿宋_GB2312" w:cs="仿宋_GB2312"/>
          <w:b w:val="0"/>
          <w:bCs w:val="0"/>
          <w:spacing w:val="-6"/>
          <w:sz w:val="32"/>
          <w:szCs w:val="32"/>
          <w:lang w:val="en-US" w:eastAsia="zh-CN"/>
        </w:rPr>
        <w:t>强化地下水污染防治。强化丁青县县城生活垃圾卫生填埋场等重点企业污染管控，做好关键产污环节防渗，采取有效措施降低周边地下水和土壤污染风险。配合市级部门推动完善地下水监测网络，</w:t>
      </w:r>
      <w:r>
        <w:rPr>
          <w:rFonts w:hint="default" w:ascii="Times New Roman" w:hAnsi="Times New Roman" w:eastAsia="仿宋_GB2312" w:cs="仿宋_GB2312"/>
          <w:b w:val="0"/>
          <w:bCs w:val="0"/>
          <w:spacing w:val="-6"/>
          <w:sz w:val="32"/>
          <w:szCs w:val="32"/>
          <w:lang w:val="en-US" w:eastAsia="zh-CN"/>
        </w:rPr>
        <w:t>形成地下水监测监管和污染治理工作合力。</w:t>
      </w:r>
    </w:p>
    <w:p w14:paraId="05345D6A">
      <w:pPr>
        <w:keepNext w:val="0"/>
        <w:keepLines w:val="0"/>
        <w:pageBreakBefore w:val="0"/>
        <w:widowControl w:val="0"/>
        <w:numPr>
          <w:ilvl w:val="0"/>
          <w:numId w:val="6"/>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82" w:name="_Toc2923"/>
      <w:r>
        <w:rPr>
          <w:rFonts w:hint="eastAsia" w:ascii="楷体" w:hAnsi="楷体" w:eastAsia="楷体" w:cs="楷体"/>
          <w:sz w:val="32"/>
          <w:szCs w:val="32"/>
          <w:lang w:val="en-US" w:eastAsia="zh-CN"/>
        </w:rPr>
        <w:t>强化农业农村污染治理</w:t>
      </w:r>
      <w:bookmarkEnd w:id="82"/>
    </w:p>
    <w:p w14:paraId="49F86BE9">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default" w:ascii="Times New Roman" w:hAnsi="Times New Roman" w:eastAsia="仿宋_GB2312" w:cs="仿宋_GB2312"/>
          <w:spacing w:val="0"/>
          <w:sz w:val="32"/>
          <w:szCs w:val="32"/>
          <w:lang w:val="en-US" w:eastAsia="zh-CN"/>
        </w:rPr>
      </w:pPr>
      <w:r>
        <w:rPr>
          <w:rFonts w:hint="eastAsia" w:ascii="Times New Roman" w:hAnsi="Times New Roman" w:eastAsia="仿宋_GB2312" w:cs="仿宋_GB2312"/>
          <w:spacing w:val="0"/>
          <w:sz w:val="32"/>
          <w:szCs w:val="32"/>
          <w:lang w:val="en-US" w:eastAsia="zh-CN"/>
        </w:rPr>
        <w:t>以</w:t>
      </w:r>
      <w:r>
        <w:rPr>
          <w:rFonts w:hint="default" w:ascii="Times New Roman" w:hAnsi="Times New Roman" w:eastAsia="仿宋_GB2312" w:cs="仿宋_GB2312"/>
          <w:spacing w:val="0"/>
          <w:sz w:val="32"/>
          <w:szCs w:val="32"/>
          <w:lang w:val="en-US" w:eastAsia="zh-CN"/>
        </w:rPr>
        <w:t>美丽乡村建设、和美乡村建设为重要抓手，推动农村人居环境整治提升，因地制宜推进农村厕所革命、生活污水治理、生活垃圾处置，强化处置和转运运维经费保障，补齐农村环境基础设施短板。以减量化、生态化、资源化为导向，推广成本低、易维护的农村生活污水治理技术。结合</w:t>
      </w:r>
      <w:r>
        <w:rPr>
          <w:rFonts w:hint="eastAsia" w:ascii="Times New Roman" w:hAnsi="Times New Roman" w:eastAsia="仿宋_GB2312" w:cs="仿宋_GB2312"/>
          <w:spacing w:val="0"/>
          <w:sz w:val="32"/>
          <w:szCs w:val="32"/>
          <w:lang w:val="en-US" w:eastAsia="zh-CN"/>
        </w:rPr>
        <w:t>“</w:t>
      </w:r>
      <w:r>
        <w:rPr>
          <w:rFonts w:hint="default" w:ascii="Times New Roman" w:hAnsi="Times New Roman" w:eastAsia="仿宋_GB2312" w:cs="仿宋_GB2312"/>
          <w:spacing w:val="0"/>
          <w:sz w:val="32"/>
          <w:szCs w:val="32"/>
          <w:lang w:val="en-US" w:eastAsia="zh-CN"/>
        </w:rPr>
        <w:t>村庄清洁行动</w:t>
      </w:r>
      <w:r>
        <w:rPr>
          <w:rFonts w:hint="eastAsia" w:ascii="Times New Roman" w:hAnsi="Times New Roman" w:eastAsia="仿宋_GB2312" w:cs="仿宋_GB2312"/>
          <w:spacing w:val="0"/>
          <w:sz w:val="32"/>
          <w:szCs w:val="32"/>
          <w:lang w:val="en-US" w:eastAsia="zh-CN"/>
        </w:rPr>
        <w:t>”</w:t>
      </w:r>
      <w:r>
        <w:rPr>
          <w:rFonts w:hint="default" w:ascii="Times New Roman" w:hAnsi="Times New Roman" w:eastAsia="仿宋_GB2312" w:cs="仿宋_GB2312"/>
          <w:spacing w:val="0"/>
          <w:sz w:val="32"/>
          <w:szCs w:val="32"/>
          <w:lang w:val="en-US" w:eastAsia="zh-CN"/>
        </w:rPr>
        <w:t>，健全农村垃圾收运处置体系，推进农村生活垃圾就地分类和资源化利用。持续深化畜禽养殖粪污资源化利用和污染治理，做好人畜分离工作，推广种养结合模式。实施化肥农药减量增效行动和农膜回收行动，开展农作物病虫害绿色防控和统防统治。</w:t>
      </w:r>
    </w:p>
    <w:p w14:paraId="1394F6EF">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83" w:name="_Toc8687"/>
      <w:r>
        <w:rPr>
          <w:rFonts w:hint="eastAsia" w:ascii="黑体" w:hAnsi="黑体" w:eastAsia="黑体" w:cs="黑体"/>
          <w:b w:val="0"/>
          <w:bCs w:val="0"/>
          <w:color w:val="auto"/>
          <w:sz w:val="32"/>
          <w:szCs w:val="32"/>
          <w:highlight w:val="none"/>
          <w:lang w:val="en-US" w:eastAsia="zh-CN" w:bidi="ar-SA"/>
        </w:rPr>
        <w:t>四、提质增效建设“无废城市”</w:t>
      </w:r>
      <w:bookmarkEnd w:id="83"/>
    </w:p>
    <w:p w14:paraId="5B2C9B87">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84" w:name="_Toc7981"/>
      <w:r>
        <w:rPr>
          <w:rFonts w:hint="eastAsia" w:ascii="楷体" w:hAnsi="楷体" w:eastAsia="楷体" w:cs="楷体"/>
          <w:sz w:val="32"/>
          <w:szCs w:val="32"/>
          <w:lang w:val="en-US" w:eastAsia="zh-CN"/>
        </w:rPr>
        <w:t>（一）深入开展</w:t>
      </w:r>
      <w:r>
        <w:rPr>
          <w:rFonts w:hint="eastAsia" w:ascii="楷体" w:hAnsi="楷体" w:eastAsia="楷体" w:cs="楷体"/>
          <w:sz w:val="32"/>
          <w:szCs w:val="32"/>
          <w:lang w:val="en" w:eastAsia="zh-CN"/>
        </w:rPr>
        <w:t>固体废物综合治理</w:t>
      </w:r>
      <w:bookmarkEnd w:id="84"/>
    </w:p>
    <w:p w14:paraId="27F2A35E">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eastAsia" w:ascii="Times New Roman" w:hAnsi="Times New Roman" w:eastAsia="仿宋_GB2312" w:cs="仿宋_GB2312"/>
          <w:spacing w:val="0"/>
          <w:sz w:val="32"/>
          <w:szCs w:val="32"/>
          <w:lang w:val="en" w:eastAsia="zh-CN"/>
        </w:rPr>
      </w:pPr>
      <w:r>
        <w:rPr>
          <w:rFonts w:hint="eastAsia" w:ascii="Times New Roman" w:hAnsi="Times New Roman" w:eastAsia="仿宋_GB2312" w:cs="仿宋_GB2312"/>
          <w:spacing w:val="0"/>
          <w:sz w:val="32"/>
          <w:szCs w:val="32"/>
          <w:lang w:val="en-US" w:eastAsia="zh-CN"/>
        </w:rPr>
        <w:t>深入落实《</w:t>
      </w:r>
      <w:r>
        <w:rPr>
          <w:rFonts w:hint="eastAsia" w:ascii="Times New Roman" w:hAnsi="Times New Roman" w:eastAsia="仿宋_GB2312" w:cs="仿宋_GB2312"/>
          <w:spacing w:val="0"/>
          <w:sz w:val="32"/>
          <w:szCs w:val="32"/>
          <w:lang w:val="en" w:eastAsia="zh-CN"/>
        </w:rPr>
        <w:t>固体废物综合治理行动</w:t>
      </w:r>
      <w:r>
        <w:rPr>
          <w:rFonts w:hint="eastAsia" w:ascii="Times New Roman" w:hAnsi="Times New Roman" w:eastAsia="仿宋_GB2312" w:cs="仿宋_GB2312"/>
          <w:spacing w:val="0"/>
          <w:sz w:val="32"/>
          <w:szCs w:val="32"/>
          <w:lang w:val="en-US" w:eastAsia="zh-CN"/>
        </w:rPr>
        <w:t>计划》《昌都市贯彻落实</w:t>
      </w:r>
      <w:r>
        <w:rPr>
          <w:rFonts w:hint="eastAsia" w:ascii="Times New Roman" w:hAnsi="Times New Roman" w:eastAsia="仿宋_GB2312" w:cs="仿宋_GB2312"/>
          <w:spacing w:val="0"/>
          <w:sz w:val="32"/>
          <w:szCs w:val="32"/>
          <w:lang w:val="en" w:eastAsia="zh-CN"/>
        </w:rPr>
        <w:t>固体废物综合治理行动</w:t>
      </w:r>
      <w:r>
        <w:rPr>
          <w:rFonts w:hint="eastAsia" w:ascii="Times New Roman" w:hAnsi="Times New Roman" w:eastAsia="仿宋_GB2312" w:cs="仿宋_GB2312"/>
          <w:spacing w:val="0"/>
          <w:sz w:val="32"/>
          <w:szCs w:val="32"/>
          <w:lang w:val="en-US" w:eastAsia="zh-CN"/>
        </w:rPr>
        <w:t>计划工作方案》，聚焦建筑垃圾、生活垃圾、工业固废、农林固废、危险废物等重点领域，加快构建源头减量、过程管控、末端利用和全链条无害化管理的固体废物综合治理体系。</w:t>
      </w:r>
      <w:r>
        <w:rPr>
          <w:rFonts w:hint="eastAsia" w:ascii="Times New Roman" w:hAnsi="Times New Roman" w:eastAsia="仿宋_GB2312" w:cs="仿宋_GB2312"/>
          <w:spacing w:val="0"/>
          <w:sz w:val="32"/>
          <w:szCs w:val="32"/>
          <w:lang w:val="en"/>
        </w:rPr>
        <w:t>深入开展非法倾倒处置固体废物专项整治</w:t>
      </w:r>
      <w:r>
        <w:rPr>
          <w:rFonts w:hint="eastAsia" w:ascii="Times New Roman" w:hAnsi="Times New Roman" w:eastAsia="仿宋_GB2312" w:cs="仿宋_GB2312"/>
          <w:spacing w:val="0"/>
          <w:sz w:val="32"/>
          <w:szCs w:val="32"/>
          <w:lang w:val="en" w:eastAsia="zh-CN"/>
        </w:rPr>
        <w:t>、生活垃圾填埋场环境污染隐患专项整治、</w:t>
      </w:r>
      <w:r>
        <w:rPr>
          <w:rFonts w:hint="eastAsia" w:ascii="Times New Roman" w:hAnsi="Times New Roman" w:eastAsia="仿宋_GB2312" w:cs="仿宋_GB2312"/>
          <w:spacing w:val="0"/>
          <w:kern w:val="2"/>
          <w:sz w:val="32"/>
          <w:szCs w:val="32"/>
          <w:lang w:val="en" w:eastAsia="zh-CN" w:bidi="ar-SA"/>
        </w:rPr>
        <w:t>建筑垃圾专项整治，靶向攻坚、精准施策、系统治理，全面补齐固体废物治理短板，筑牢生态环境安全防线。</w:t>
      </w:r>
    </w:p>
    <w:p w14:paraId="4E9A1F7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85" w:name="_Toc1349"/>
      <w:r>
        <w:rPr>
          <w:rFonts w:hint="eastAsia" w:ascii="楷体" w:hAnsi="楷体" w:eastAsia="楷体" w:cs="楷体"/>
          <w:sz w:val="32"/>
          <w:szCs w:val="32"/>
          <w:lang w:val="en-US" w:eastAsia="zh-CN"/>
        </w:rPr>
        <w:t>（二）健全一般工业固废治理体系</w:t>
      </w:r>
      <w:bookmarkEnd w:id="85"/>
    </w:p>
    <w:p w14:paraId="55E33E8D">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spacing w:val="0"/>
          <w:sz w:val="32"/>
          <w:szCs w:val="32"/>
          <w:lang w:val="en-US" w:eastAsia="zh-CN"/>
        </w:rPr>
        <w:t>严格落实《产业结构调整指导目录（2024年本）》《西部地区鼓励类产业目录（2025年本）》《市场准入负面清单（2022年版）》及国家重点生态功能区产业准入、昌都市“三线一单”生态环境分区管控要求，严禁引进高能耗、高污染、高排放、低水平及固废产生量大且难以有效利用处置的项目。支持商砼、制砖等企业工艺升级，降低工业固体废物产生强度。完善一般工业固废管理台账，落实企业全过程污染防治责任，深化商砼、制砖、食品加工等行业固废综合利用，强化清洁能源项目施工期固体废物管理。</w:t>
      </w:r>
    </w:p>
    <w:p w14:paraId="1C18126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86" w:name="_Toc6393"/>
      <w:r>
        <w:rPr>
          <w:rFonts w:hint="eastAsia" w:ascii="楷体" w:hAnsi="楷体" w:eastAsia="楷体" w:cs="楷体"/>
          <w:sz w:val="32"/>
          <w:szCs w:val="32"/>
          <w:lang w:val="en-US" w:eastAsia="zh-CN"/>
        </w:rPr>
        <w:t>（三）</w:t>
      </w:r>
      <w:r>
        <w:rPr>
          <w:rFonts w:hint="eastAsia" w:ascii="楷体" w:hAnsi="楷体" w:eastAsia="楷体" w:cs="楷体"/>
          <w:sz w:val="32"/>
          <w:szCs w:val="32"/>
          <w:lang w:val="en" w:eastAsia="zh-CN"/>
        </w:rPr>
        <w:t>推进农业固体废物高效利用</w:t>
      </w:r>
      <w:bookmarkEnd w:id="86"/>
    </w:p>
    <w:p w14:paraId="4B170138">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eastAsia" w:ascii="Times New Roman" w:hAnsi="Times New Roman" w:eastAsia="仿宋_GB2312" w:cs="仿宋_GB2312"/>
          <w:spacing w:val="0"/>
          <w:sz w:val="32"/>
          <w:szCs w:val="32"/>
          <w:lang w:val="en" w:eastAsia="zh-CN"/>
        </w:rPr>
      </w:pPr>
      <w:r>
        <w:rPr>
          <w:rFonts w:hint="eastAsia" w:ascii="Times New Roman" w:hAnsi="Times New Roman" w:eastAsia="仿宋_GB2312" w:cs="仿宋_GB2312"/>
          <w:spacing w:val="0"/>
          <w:sz w:val="32"/>
          <w:szCs w:val="32"/>
          <w:lang w:val="en" w:eastAsia="zh-CN"/>
        </w:rPr>
        <w:t>推进农作物秸秆整县综合利用，完善田间收集、储运、处置体系，以饲料化为主推广青（黄）贮、微贮等技术，加强秸秆资源台账建设。合理布局巴达乡、甘岩乡、嘎塔乡、色扎乡、协雄乡等牧区养殖区域，推进病死动物无害化处理设施</w:t>
      </w:r>
      <w:r>
        <w:rPr>
          <w:rFonts w:hint="eastAsia" w:ascii="Times New Roman" w:hAnsi="Times New Roman" w:eastAsia="仿宋_GB2312" w:cs="仿宋_GB2312"/>
          <w:spacing w:val="0"/>
          <w:sz w:val="32"/>
          <w:szCs w:val="32"/>
          <w:lang w:val="en-US" w:eastAsia="zh-CN"/>
        </w:rPr>
        <w:t>项目</w:t>
      </w:r>
      <w:r>
        <w:rPr>
          <w:rFonts w:hint="eastAsia" w:ascii="Times New Roman" w:hAnsi="Times New Roman" w:eastAsia="仿宋_GB2312" w:cs="仿宋_GB2312"/>
          <w:spacing w:val="0"/>
          <w:sz w:val="32"/>
          <w:szCs w:val="32"/>
          <w:lang w:val="en" w:eastAsia="zh-CN"/>
        </w:rPr>
        <w:t>、畜禽粪污资源化利用整县项目</w:t>
      </w:r>
      <w:r>
        <w:rPr>
          <w:rFonts w:hint="eastAsia" w:ascii="Times New Roman" w:hAnsi="Times New Roman" w:eastAsia="仿宋_GB2312" w:cs="仿宋_GB2312"/>
          <w:spacing w:val="0"/>
          <w:sz w:val="32"/>
          <w:szCs w:val="32"/>
          <w:lang w:val="en-US" w:eastAsia="zh-CN"/>
        </w:rPr>
        <w:t>及</w:t>
      </w:r>
      <w:r>
        <w:rPr>
          <w:rFonts w:hint="eastAsia" w:ascii="Times New Roman" w:hAnsi="Times New Roman" w:eastAsia="仿宋_GB2312" w:cs="仿宋_GB2312"/>
          <w:spacing w:val="0"/>
          <w:sz w:val="32"/>
          <w:szCs w:val="32"/>
          <w:lang w:val="en" w:eastAsia="zh-CN"/>
        </w:rPr>
        <w:t>牦牛、藏香猪养殖基地废弃物处理项目建设。在丁青镇、尺牍镇、沙贡乡推广“种养结合”循环模式和粪污全量还田、水肥一体化等技术。加强农用地膜应用和残膜污染的基础数据统计，健全农膜使用台账，健全废旧农膜回收利用体系和回收激励机制，建立“以旧换新”或回收补贴制度，加强农膜市场监管，杜绝非标地膜入市下田。完善农药包装废弃物回收处理机制，规范回收台账和贮存点管理，落实危险废物转移制度，保障转运处置经费。</w:t>
      </w:r>
    </w:p>
    <w:p w14:paraId="663086F7">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 w:eastAsia="zh-CN"/>
        </w:rPr>
      </w:pPr>
      <w:bookmarkStart w:id="87" w:name="_Toc11670"/>
      <w:r>
        <w:rPr>
          <w:rFonts w:hint="eastAsia" w:ascii="楷体" w:hAnsi="楷体" w:eastAsia="楷体" w:cs="楷体"/>
          <w:sz w:val="32"/>
          <w:szCs w:val="32"/>
          <w:lang w:val="en-US" w:eastAsia="zh-CN"/>
        </w:rPr>
        <w:t>（四）</w:t>
      </w:r>
      <w:r>
        <w:rPr>
          <w:rFonts w:hint="eastAsia" w:ascii="楷体" w:hAnsi="楷体" w:eastAsia="楷体" w:cs="楷体"/>
          <w:sz w:val="32"/>
          <w:szCs w:val="32"/>
          <w:lang w:val="en" w:eastAsia="zh-CN"/>
        </w:rPr>
        <w:t>实施生活源固废精细化管理</w:t>
      </w:r>
      <w:bookmarkEnd w:id="87"/>
    </w:p>
    <w:p w14:paraId="7DF01CAC">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eastAsia" w:ascii="Times New Roman" w:hAnsi="Times New Roman" w:eastAsia="仿宋_GB2312" w:cs="仿宋_GB2312"/>
          <w:b w:val="0"/>
          <w:bCs w:val="0"/>
          <w:spacing w:val="-6"/>
          <w:sz w:val="32"/>
          <w:szCs w:val="32"/>
          <w:lang w:val="en" w:eastAsia="zh-CN"/>
        </w:rPr>
      </w:pPr>
      <w:r>
        <w:rPr>
          <w:rFonts w:hint="eastAsia" w:ascii="Times New Roman" w:hAnsi="Times New Roman" w:eastAsia="仿宋_GB2312" w:cs="仿宋_GB2312"/>
          <w:spacing w:val="0"/>
          <w:sz w:val="32"/>
          <w:szCs w:val="32"/>
          <w:lang w:val="en" w:eastAsia="zh-CN"/>
        </w:rPr>
        <w:t>推行县城生活垃圾分类四分类工作，实施垃圾分类处理建设项目，强化前端收集点和末端填埋场分类管理。加大农村垃圾分类设施投入，因地制宜推进易腐垃圾就地处理和资源化利用。完善城乡生活垃圾收运体系，以木塔乡、布塔乡、甘岩乡等偏远农村、虫草采集点和寺庙为重点补齐收运设施短板，推进桑多乡等乡镇垃圾处置设施建设。</w:t>
      </w:r>
      <w:r>
        <w:rPr>
          <w:rFonts w:hint="eastAsia" w:ascii="Times New Roman" w:hAnsi="Times New Roman" w:eastAsia="仿宋_GB2312" w:cs="仿宋_GB2312"/>
          <w:spacing w:val="0"/>
          <w:sz w:val="32"/>
          <w:szCs w:val="32"/>
          <w:lang w:val="en-US" w:eastAsia="zh-CN"/>
        </w:rPr>
        <w:t>推进丁青县第二生活垃圾填埋场卫生防护距离内环境敏感目标搬迁工作，</w:t>
      </w:r>
      <w:r>
        <w:rPr>
          <w:rFonts w:hint="eastAsia" w:ascii="Times New Roman" w:hAnsi="Times New Roman" w:eastAsia="仿宋_GB2312" w:cs="仿宋_GB2312"/>
          <w:spacing w:val="0"/>
          <w:sz w:val="32"/>
          <w:szCs w:val="32"/>
          <w:lang w:val="en" w:eastAsia="zh-CN"/>
        </w:rPr>
        <w:t>强化丁青县第二生活垃圾填埋场运行管理，加强尺牍镇、觉恩乡填埋场封场治理和日常维护。推进生活垃圾分类网点与再生资源回收网点“两网融合”，推动再生资源回收加工厂和废旧汽车交易利用场所项目建设，规范回收行业管理，健全回收统计制度。规范污水处理厂污泥管理，落实台账和转移联单制度，严禁擅自倾倒堆放，推广污泥林地利用、园林绿化利用等资源化方式，逐步减少填埋处理量。</w:t>
      </w:r>
    </w:p>
    <w:p w14:paraId="0EEB8E18">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88" w:name="_Toc23425"/>
      <w:r>
        <w:rPr>
          <w:rFonts w:hint="eastAsia" w:ascii="楷体" w:hAnsi="楷体" w:eastAsia="楷体" w:cs="楷体"/>
          <w:sz w:val="32"/>
          <w:szCs w:val="32"/>
          <w:lang w:val="en-US" w:eastAsia="zh-CN"/>
        </w:rPr>
        <w:t>（五）加快推进建筑垃圾综合利用</w:t>
      </w:r>
      <w:bookmarkEnd w:id="88"/>
    </w:p>
    <w:p w14:paraId="4BC4D86C">
      <w:pPr>
        <w:keepNext w:val="0"/>
        <w:keepLines w:val="0"/>
        <w:pageBreakBefore w:val="0"/>
        <w:widowControl w:val="0"/>
        <w:kinsoku/>
        <w:wordWrap/>
        <w:overflowPunct/>
        <w:topLinePunct w:val="0"/>
        <w:autoSpaceDE/>
        <w:autoSpaceDN/>
        <w:bidi w:val="0"/>
        <w:snapToGrid/>
        <w:spacing w:line="576" w:lineRule="exact"/>
        <w:ind w:firstLine="640" w:firstLineChars="200"/>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spacing w:val="0"/>
          <w:sz w:val="32"/>
          <w:szCs w:val="32"/>
          <w:lang w:val="en-US" w:eastAsia="zh-CN"/>
        </w:rPr>
        <w:t>深入落实《关于进一步加强城市建筑垃圾治理的意见》，健全建筑垃圾治理体系，促进减量化、资源化、无害化。推进建筑垃圾源头减量，大力推广绿色建筑、装配式建筑，压实建设单位、设计单位、施工单位减量责任，按照工程渣土、工程泥浆、工程垃圾、拆除垃圾、装修垃圾实行分类处理。落实建筑垃圾排放（产生）申报制度，督促辖区工程施工单位编制建筑垃圾处理方案，采取污染防治措施，并全部进行备案。强化建筑垃圾运输监管，严厉查处未密闭运输、沿途遗撒、乱倒乱卸等违法行为。强化丁青县建筑垃圾临时堆放点规范运行，落实分区堆放和污染防治要求，禁止接收生活垃圾和危险废物，定期开展周边土壤、水体、大气监测。加快实施丁青县建筑垃圾处理场及资源化利用项目建设，过渡期内调动现有建材加工厂对工程垃圾和拆除垃圾进行消纳处理。推广基坑回填、土地复耕、园林绿化等综合利用方式，强化存量建筑垃圾治理和土方平衡利用。</w:t>
      </w:r>
    </w:p>
    <w:bookmarkEnd w:id="21"/>
    <w:p w14:paraId="37962230">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 xml:space="preserve"> </w:t>
      </w:r>
      <w:bookmarkStart w:id="89" w:name="_Toc15786"/>
      <w:r>
        <w:rPr>
          <w:rFonts w:hint="eastAsia" w:ascii="方正小标宋简体" w:hAnsi="方正小标宋简体" w:eastAsia="方正小标宋简体" w:cs="方正小标宋简体"/>
          <w:sz w:val="32"/>
          <w:szCs w:val="32"/>
          <w:lang w:val="en-US" w:eastAsia="zh-CN"/>
        </w:rPr>
        <w:t>推动全社会绿色低碳转型</w:t>
      </w:r>
      <w:bookmarkEnd w:id="89"/>
    </w:p>
    <w:p w14:paraId="37D7DDED">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6"/>
          <w:sz w:val="32"/>
          <w:szCs w:val="32"/>
          <w:lang w:val="en"/>
        </w:rPr>
        <w:t>坚持以碳达峰碳中和为引领，健全绿色低碳发展机制体制，推动产业、能源转型升级，积极践行绿色低碳生产方式和生活方式，推动社会经济全面绿色低碳转型</w:t>
      </w:r>
      <w:r>
        <w:rPr>
          <w:rFonts w:hint="eastAsia" w:ascii="Times New Roman" w:hAnsi="Times New Roman" w:eastAsia="仿宋_GB2312" w:cs="仿宋_GB2312"/>
          <w:spacing w:val="-6"/>
          <w:sz w:val="32"/>
          <w:szCs w:val="32"/>
          <w:lang w:val="en" w:eastAsia="zh-CN"/>
        </w:rPr>
        <w:t>，全面构建区域绿色低碳发展格局。</w:t>
      </w:r>
    </w:p>
    <w:p w14:paraId="4C42637C">
      <w:pPr>
        <w:pStyle w:val="4"/>
        <w:keepNext/>
        <w:keepLines/>
        <w:pageBreakBefore w:val="0"/>
        <w:widowControl w:val="0"/>
        <w:numPr>
          <w:ilvl w:val="0"/>
          <w:numId w:val="7"/>
        </w:numPr>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 w:eastAsia="zh-CN" w:bidi="ar-SA"/>
        </w:rPr>
      </w:pPr>
      <w:bookmarkStart w:id="90" w:name="_Toc9299"/>
      <w:bookmarkStart w:id="91" w:name="_Toc27248"/>
      <w:bookmarkStart w:id="92" w:name="_Toc1505"/>
      <w:r>
        <w:rPr>
          <w:rFonts w:hint="eastAsia" w:ascii="黑体" w:hAnsi="黑体" w:eastAsia="黑体" w:cs="黑体"/>
          <w:b w:val="0"/>
          <w:bCs w:val="0"/>
          <w:color w:val="auto"/>
          <w:sz w:val="32"/>
          <w:szCs w:val="32"/>
          <w:highlight w:val="none"/>
          <w:lang w:val="en" w:eastAsia="zh-CN" w:bidi="ar-SA"/>
        </w:rPr>
        <w:t>推进产业绿色</w:t>
      </w:r>
      <w:r>
        <w:rPr>
          <w:rFonts w:hint="eastAsia" w:ascii="黑体" w:hAnsi="黑体" w:eastAsia="黑体" w:cs="黑体"/>
          <w:b w:val="0"/>
          <w:bCs w:val="0"/>
          <w:color w:val="auto"/>
          <w:sz w:val="32"/>
          <w:szCs w:val="32"/>
          <w:highlight w:val="none"/>
          <w:lang w:val="en-US" w:eastAsia="zh-CN" w:bidi="ar-SA"/>
        </w:rPr>
        <w:t>低碳</w:t>
      </w:r>
      <w:bookmarkEnd w:id="90"/>
      <w:bookmarkEnd w:id="91"/>
      <w:bookmarkStart w:id="93" w:name="_Toc14346"/>
      <w:bookmarkStart w:id="94" w:name="_Toc31982"/>
      <w:bookmarkStart w:id="95" w:name="_Toc27443"/>
      <w:bookmarkStart w:id="96" w:name="_Toc20776"/>
      <w:bookmarkStart w:id="97" w:name="_Toc12269"/>
      <w:bookmarkStart w:id="98" w:name="_Toc3974"/>
      <w:r>
        <w:rPr>
          <w:rFonts w:hint="eastAsia" w:ascii="黑体" w:hAnsi="黑体" w:eastAsia="黑体" w:cs="黑体"/>
          <w:b w:val="0"/>
          <w:bCs w:val="0"/>
          <w:color w:val="auto"/>
          <w:sz w:val="32"/>
          <w:szCs w:val="32"/>
          <w:highlight w:val="none"/>
          <w:lang w:val="en-US" w:eastAsia="zh-CN" w:bidi="ar-SA"/>
        </w:rPr>
        <w:t>转型</w:t>
      </w:r>
      <w:bookmarkEnd w:id="92"/>
    </w:p>
    <w:p w14:paraId="3E32B710">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99" w:name="_Toc2518"/>
      <w:r>
        <w:rPr>
          <w:rFonts w:hint="eastAsia" w:ascii="楷体" w:hAnsi="楷体" w:eastAsia="楷体" w:cs="楷体"/>
          <w:kern w:val="2"/>
          <w:sz w:val="32"/>
          <w:szCs w:val="32"/>
          <w:lang w:val="en-US" w:eastAsia="zh-CN" w:bidi="ar-SA"/>
        </w:rPr>
        <w:t>（一）</w:t>
      </w:r>
      <w:r>
        <w:rPr>
          <w:rFonts w:hint="eastAsia" w:ascii="楷体" w:hAnsi="楷体" w:eastAsia="楷体" w:cs="楷体"/>
          <w:sz w:val="32"/>
          <w:szCs w:val="32"/>
          <w:lang w:val="en-US" w:eastAsia="zh-CN"/>
        </w:rPr>
        <w:t>落实生态环境分区管控</w:t>
      </w:r>
      <w:bookmarkEnd w:id="99"/>
    </w:p>
    <w:p w14:paraId="275822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0"/>
          <w:sz w:val="32"/>
          <w:szCs w:val="32"/>
          <w:lang w:val="en" w:eastAsia="zh-CN"/>
        </w:rPr>
      </w:pPr>
      <w:r>
        <w:rPr>
          <w:rFonts w:hint="eastAsia" w:ascii="Times New Roman" w:hAnsi="Times New Roman" w:eastAsia="仿宋_GB2312" w:cs="仿宋_GB2312"/>
          <w:spacing w:val="-6"/>
          <w:sz w:val="32"/>
          <w:szCs w:val="32"/>
          <w:lang w:val="en-US" w:eastAsia="zh-CN"/>
        </w:rPr>
        <w:t>严格落实</w:t>
      </w:r>
      <w:r>
        <w:rPr>
          <w:rFonts w:hint="eastAsia" w:ascii="Times New Roman" w:hAnsi="Times New Roman" w:eastAsia="仿宋_GB2312" w:cs="仿宋_GB2312"/>
          <w:spacing w:val="0"/>
          <w:sz w:val="32"/>
          <w:szCs w:val="32"/>
          <w:lang w:val="en" w:eastAsia="zh-CN"/>
        </w:rPr>
        <w:t>产业结构调整指导目录、环境保护综合名录、西藏自治区产业投资准入</w:t>
      </w:r>
      <w:r>
        <w:rPr>
          <w:rFonts w:hint="eastAsia" w:ascii="Times New Roman" w:hAnsi="Times New Roman" w:eastAsia="仿宋_GB2312" w:cs="仿宋_GB2312"/>
          <w:spacing w:val="0"/>
          <w:sz w:val="32"/>
          <w:szCs w:val="32"/>
          <w:lang w:val="en-US" w:eastAsia="zh-CN"/>
        </w:rPr>
        <w:t>等生态环境准入要求，</w:t>
      </w:r>
      <w:r>
        <w:rPr>
          <w:rFonts w:hint="eastAsia" w:ascii="Times New Roman" w:hAnsi="Times New Roman" w:eastAsia="仿宋_GB2312" w:cs="仿宋_GB2312"/>
          <w:spacing w:val="-6"/>
          <w:sz w:val="32"/>
          <w:szCs w:val="32"/>
          <w:lang w:val="en-US" w:eastAsia="zh-CN"/>
        </w:rPr>
        <w:t>配合市级部门动态调整并落实《昌都市生态环境分区管控方案》，推动生态环境管控单元落地见效，严格落实不同管控单元的生态环境准入清单，精准对接区域产业发展布局，把生态环境准入要求嵌入项目招商引资、项目落地的全流程，从源头管控高耗能、高排放项目盲目发展，为丁青县特色产业、绿色低碳产业预留充足发展空间。</w:t>
      </w:r>
      <w:r>
        <w:rPr>
          <w:rFonts w:hint="eastAsia" w:ascii="Times New Roman" w:hAnsi="Times New Roman" w:eastAsia="仿宋_GB2312" w:cs="仿宋_GB2312"/>
          <w:spacing w:val="0"/>
          <w:sz w:val="32"/>
          <w:szCs w:val="32"/>
          <w:lang w:val="en" w:eastAsia="zh-CN"/>
        </w:rPr>
        <w:t>开展相关产业发展规划、重点开发区域规划环境影响评价工作，指导区域产业准入、产业布局、发展规模和开发强度；加强规划环评与项目环评联动。</w:t>
      </w:r>
    </w:p>
    <w:p w14:paraId="5402DDE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00" w:name="_Toc11804"/>
      <w:r>
        <w:rPr>
          <w:rFonts w:hint="eastAsia" w:ascii="楷体" w:hAnsi="楷体" w:eastAsia="楷体" w:cs="楷体"/>
          <w:kern w:val="2"/>
          <w:sz w:val="32"/>
          <w:szCs w:val="32"/>
          <w:lang w:val="en-US" w:eastAsia="zh-CN" w:bidi="ar-SA"/>
        </w:rPr>
        <w:t>（二）</w:t>
      </w:r>
      <w:r>
        <w:rPr>
          <w:rFonts w:hint="eastAsia" w:ascii="楷体" w:hAnsi="楷体" w:eastAsia="楷体" w:cs="楷体"/>
          <w:sz w:val="32"/>
          <w:szCs w:val="32"/>
          <w:lang w:val="en-US" w:eastAsia="zh-CN"/>
        </w:rPr>
        <w:t>推动农牧业绿色发展</w:t>
      </w:r>
      <w:bookmarkEnd w:id="100"/>
    </w:p>
    <w:p w14:paraId="3A2BD6B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立足本地资源优势，因地制宜规划产业布局，全力构建“一乡一策一村一品”特色产业发展新格局。实施科技兴农、绿色兴农、质量兴农行动，完善县、乡、村三级农业科技推广网络，引进适配高原的农牧业技术服务体系。推动良种选育、病虫害绿色防控等技术落地。提升绿色、有机农产品基地标准化水平，鼓励开展农产品地理标志认证。打响“丁青玫瑰、丁青杏仁油、小蓝青稞”等名特优新农产品，通过订单农业、电商平台对接高端消费市场，提升产品附加值。推广“草＋畜＋粪＋肥”循环闭合养殖模式，促进畜牧业可持续发展，打造高原特色生态牧场，配套建设完善的养殖废弃物收集设施，推广畜禽粪污发酵及还草还田技术应用，推动粪污资源全量还草还田综合利用，打造绿色优质高效的生态循环畜牧业体系，到2030年全县畜禽粪污综合利用率达到97%以上。</w:t>
      </w:r>
    </w:p>
    <w:p w14:paraId="49B7110A">
      <w:pPr>
        <w:keepNext w:val="0"/>
        <w:keepLines w:val="0"/>
        <w:pageBreakBefore w:val="0"/>
        <w:widowControl w:val="0"/>
        <w:numPr>
          <w:ilvl w:val="0"/>
          <w:numId w:val="5"/>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01" w:name="_Toc7945"/>
      <w:r>
        <w:rPr>
          <w:rFonts w:hint="eastAsia" w:ascii="楷体" w:hAnsi="楷体" w:eastAsia="楷体" w:cs="楷体"/>
          <w:sz w:val="32"/>
          <w:szCs w:val="32"/>
          <w:lang w:val="en-US" w:eastAsia="zh-CN"/>
        </w:rPr>
        <w:t>做优做强生态文旅产业</w:t>
      </w:r>
      <w:bookmarkEnd w:id="101"/>
    </w:p>
    <w:p w14:paraId="77726FA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pPr>
      <w:r>
        <w:rPr>
          <w:rFonts w:hint="default" w:ascii="Times New Roman" w:hAnsi="Times New Roman" w:eastAsia="仿宋_GB2312" w:cs="仿宋_GB2312"/>
          <w:spacing w:val="-6"/>
          <w:sz w:val="32"/>
          <w:szCs w:val="32"/>
          <w:lang w:val="en-US" w:eastAsia="zh-CN"/>
        </w:rPr>
        <w:t>立足丁青高原自然禀赋与琼布民俗、特色农牧资源，坚持生态优先、绿色开发导向，有序做优做强全域生态文旅产业</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在天穹孜珠、布托湖等核心景区，科学统筹生态承载上限</w:t>
      </w:r>
      <w:r>
        <w:rPr>
          <w:rFonts w:hint="eastAsia" w:ascii="Times New Roman" w:hAnsi="Times New Roman" w:eastAsia="仿宋_GB2312" w:cs="仿宋_GB2312"/>
          <w:spacing w:val="-6"/>
          <w:sz w:val="32"/>
          <w:szCs w:val="32"/>
          <w:lang w:val="en-US" w:eastAsia="zh-CN"/>
        </w:rPr>
        <w:t>，合理</w:t>
      </w:r>
      <w:r>
        <w:rPr>
          <w:rFonts w:hint="default" w:ascii="Times New Roman" w:hAnsi="Times New Roman" w:eastAsia="仿宋_GB2312" w:cs="仿宋_GB2312"/>
          <w:spacing w:val="-6"/>
          <w:sz w:val="32"/>
          <w:szCs w:val="32"/>
          <w:lang w:val="en-US" w:eastAsia="zh-CN"/>
        </w:rPr>
        <w:t>布局建设标准化游客服务中心、生态停车场、观景平台及污水管网、垃圾转运站等旅游基础设施，推动景区垃圾无害化处理和污水达标排放落地落实</w:t>
      </w:r>
      <w:r>
        <w:rPr>
          <w:rFonts w:hint="eastAsia" w:ascii="Times New Roman" w:hAnsi="Times New Roman" w:eastAsia="仿宋_GB2312" w:cs="仿宋_GB2312"/>
          <w:spacing w:val="-6"/>
          <w:sz w:val="32"/>
          <w:szCs w:val="32"/>
          <w:lang w:val="en-US" w:eastAsia="zh-CN"/>
        </w:rPr>
        <w:t>。聚力推进布托湖国家3A级景区建设，深挖高原地热温泉资源，补齐温泉疗养场馆、精品度假民宿、藏民俗沉浸式体验配套，打造湖泊观光+温泉康养文旅综合体。立足桑多乡云朵玫瑰特色种植基地，建设高端度假酒店、玫瑰精油加工体验馆，培育乡村高端文旅业态。依托“琼布（丁青）虫草”特色品牌、“孜珠天穹玫瑰”有机产品品牌，持续打响高原特色生态牧场与“天空之镜”无废景区文旅名片，全面强化丁青文旅品牌曝光度。</w:t>
      </w:r>
    </w:p>
    <w:p w14:paraId="6DA20C74">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102" w:name="_Toc10357"/>
      <w:r>
        <w:rPr>
          <w:rFonts w:hint="eastAsia" w:ascii="楷体" w:hAnsi="楷体" w:eastAsia="楷体" w:cs="楷体"/>
          <w:sz w:val="32"/>
          <w:szCs w:val="32"/>
          <w:lang w:val="en-US" w:eastAsia="zh-CN"/>
        </w:rPr>
        <w:t>（四）推动工业绿色发展</w:t>
      </w:r>
      <w:bookmarkEnd w:id="102"/>
    </w:p>
    <w:p w14:paraId="0F48FBF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highlight w:val="none"/>
          <w:lang w:val="en-US" w:eastAsia="zh-CN"/>
        </w:rPr>
      </w:pPr>
      <w:r>
        <w:rPr>
          <w:rFonts w:hint="eastAsia" w:ascii="Times New Roman" w:hAnsi="Times New Roman" w:eastAsia="仿宋_GB2312" w:cs="仿宋_GB2312"/>
          <w:spacing w:val="-6"/>
          <w:sz w:val="32"/>
          <w:szCs w:val="32"/>
          <w:lang w:val="en-US" w:eastAsia="zh-CN"/>
        </w:rPr>
        <w:t>加快培育绿色产业，推广绿色生产技术，发展循环经济。推进节能减排，严格控制高耗能、高排放项目，保持“两高一低”项目零引进、零审批。因地制宜培育壮大绿色生产力，大力发展生态产业、绿色产业。</w:t>
      </w:r>
      <w:r>
        <w:rPr>
          <w:rFonts w:hint="eastAsia" w:ascii="Times New Roman" w:hAnsi="Times New Roman" w:eastAsia="仿宋_GB2312" w:cs="仿宋_GB2312"/>
          <w:spacing w:val="-6"/>
          <w:sz w:val="32"/>
          <w:szCs w:val="32"/>
          <w:highlight w:val="none"/>
          <w:lang w:val="en-US" w:eastAsia="zh-CN"/>
        </w:rPr>
        <w:t>严格矿产资源开发准入标准，推行探采选冶加一体化发展模式，提升资源综合利用效率。</w:t>
      </w:r>
      <w:r>
        <w:rPr>
          <w:rFonts w:hint="default" w:ascii="Times New Roman" w:hAnsi="Times New Roman" w:eastAsia="仿宋_GB2312" w:cs="仿宋_GB2312"/>
          <w:spacing w:val="-6"/>
          <w:sz w:val="32"/>
          <w:szCs w:val="32"/>
          <w:lang w:eastAsia="zh-CN"/>
        </w:rPr>
        <w:t>加快推进矿产资源绿色勘查进程，摸清资源家底，</w:t>
      </w:r>
      <w:r>
        <w:rPr>
          <w:rFonts w:hint="eastAsia" w:ascii="Times New Roman" w:hAnsi="Times New Roman" w:eastAsia="仿宋_GB2312" w:cs="仿宋_GB2312"/>
          <w:spacing w:val="-6"/>
          <w:sz w:val="32"/>
          <w:szCs w:val="32"/>
          <w:highlight w:val="none"/>
          <w:lang w:val="en-US" w:eastAsia="zh-CN"/>
        </w:rPr>
        <w:t>支持自家浦煤矿科学有序开采，严格按照绿色矿山建设标准，实施矿山地质环境治理、植被恢复工程，配套建设煤矸石综合利用设施，实现开发与保护同步推进。</w:t>
      </w:r>
      <w:r>
        <w:rPr>
          <w:rFonts w:hint="eastAsia" w:ascii="Times New Roman" w:hAnsi="Times New Roman" w:eastAsia="仿宋_GB2312" w:cs="仿宋_GB2312"/>
          <w:spacing w:val="-6"/>
          <w:sz w:val="32"/>
          <w:szCs w:val="32"/>
          <w:lang w:val="en-US" w:eastAsia="zh-CN"/>
        </w:rPr>
        <w:t>持续推动绿色工厂、绿色矿山、绿色供应链管理企业、无废工厂等认定工作。</w:t>
      </w:r>
    </w:p>
    <w:bookmarkEnd w:id="93"/>
    <w:bookmarkEnd w:id="94"/>
    <w:bookmarkEnd w:id="95"/>
    <w:bookmarkEnd w:id="96"/>
    <w:bookmarkEnd w:id="97"/>
    <w:bookmarkEnd w:id="98"/>
    <w:p w14:paraId="2238A330">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03" w:name="_Toc7974"/>
      <w:bookmarkStart w:id="104" w:name="_Toc22340"/>
      <w:bookmarkStart w:id="105" w:name="_Toc1897"/>
      <w:r>
        <w:rPr>
          <w:rFonts w:hint="eastAsia" w:ascii="黑体" w:hAnsi="黑体" w:eastAsia="黑体" w:cs="黑体"/>
          <w:b w:val="0"/>
          <w:bCs w:val="0"/>
          <w:color w:val="auto"/>
          <w:sz w:val="32"/>
          <w:szCs w:val="32"/>
          <w:highlight w:val="none"/>
          <w:lang w:val="en-US" w:eastAsia="zh-CN" w:bidi="ar-SA"/>
        </w:rPr>
        <w:t>二、</w:t>
      </w:r>
      <w:r>
        <w:rPr>
          <w:rFonts w:hint="eastAsia" w:ascii="黑体" w:hAnsi="黑体" w:eastAsia="黑体" w:cs="黑体"/>
          <w:b w:val="0"/>
          <w:bCs w:val="0"/>
          <w:color w:val="auto"/>
          <w:sz w:val="32"/>
          <w:szCs w:val="32"/>
          <w:highlight w:val="none"/>
          <w:lang w:val="en" w:eastAsia="zh-CN" w:bidi="ar-SA"/>
        </w:rPr>
        <w:t>构建清洁低碳能源</w:t>
      </w:r>
      <w:r>
        <w:rPr>
          <w:rFonts w:hint="eastAsia" w:ascii="黑体" w:hAnsi="黑体" w:eastAsia="黑体" w:cs="黑体"/>
          <w:b w:val="0"/>
          <w:bCs w:val="0"/>
          <w:color w:val="auto"/>
          <w:sz w:val="32"/>
          <w:szCs w:val="32"/>
          <w:highlight w:val="none"/>
          <w:lang w:val="en-US" w:eastAsia="zh-CN" w:bidi="ar-SA"/>
        </w:rPr>
        <w:t>体系</w:t>
      </w:r>
      <w:bookmarkEnd w:id="103"/>
      <w:bookmarkEnd w:id="104"/>
      <w:bookmarkEnd w:id="105"/>
    </w:p>
    <w:p w14:paraId="24114C18">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06" w:name="_Toc2702"/>
      <w:r>
        <w:rPr>
          <w:rFonts w:hint="eastAsia" w:ascii="楷体" w:hAnsi="楷体" w:eastAsia="楷体" w:cs="楷体"/>
          <w:sz w:val="32"/>
          <w:szCs w:val="32"/>
          <w:lang w:val="en-US" w:eastAsia="zh-CN"/>
        </w:rPr>
        <w:t>（一）建设绿色清洁基地</w:t>
      </w:r>
      <w:bookmarkEnd w:id="106"/>
    </w:p>
    <w:p w14:paraId="4A2ACE5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积极探索清洁能源产业发展路径，主动对接上级清洁能源开发指标，联合能源央企在县域光照充足、风力稳定区域布局风电、光伏等清洁能源项目，稳步扩大清洁能源装机规模。完善能源输送网络体系，建设配套变电站、输电线路等设施，提升清洁能源消纳能力。聚焦民生能源保障需求，实施国道317线丁青县制氧厂、乡镇光伏微电网等项目，有效解决高原地区供氧和偏远乡村用电问题。推动能源与产业深度协同发展，探索光伏+农牧业+生态修复融合发展模式，在光伏园区发展牧草种植、畜禽养殖，实现“板上发电、板下种养”的立体效益，打造高原绿色能源示范基地。</w:t>
      </w:r>
    </w:p>
    <w:p w14:paraId="380DFDEF">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07" w:name="_Toc3775"/>
      <w:r>
        <w:rPr>
          <w:rFonts w:hint="eastAsia" w:ascii="楷体" w:hAnsi="楷体" w:eastAsia="楷体" w:cs="楷体"/>
          <w:sz w:val="32"/>
          <w:szCs w:val="32"/>
          <w:lang w:val="en-US" w:eastAsia="zh-CN"/>
        </w:rPr>
        <w:t>（二）推进能源资源绿色利用</w:t>
      </w:r>
      <w:bookmarkEnd w:id="107"/>
    </w:p>
    <w:p w14:paraId="0952C51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推进能源资源梯级利用、废物循环利用和污染物集中处置。抢抓打造“藏东国家清洁能源基地”机遇，发挥丁青风光清洁能源资源优势，依托援藏资金与三峡集团主业优势，推进实施《丁青县清洁能源中长期发展规划》，积极申报多能互补一体化清洁能源项目着力打造县域清洁能源发展新格局。</w:t>
      </w:r>
      <w:r>
        <w:rPr>
          <w:rFonts w:hint="eastAsia" w:ascii="仿宋_GB2312" w:hAnsi="仿宋_GB2312" w:eastAsia="仿宋_GB2312" w:cs="仿宋_GB2312"/>
          <w:color w:val="auto"/>
          <w:sz w:val="32"/>
          <w:szCs w:val="32"/>
        </w:rPr>
        <w:t>推动清洁能源替代项目纳入民生实事工程，争取上级财政资金支持，</w:t>
      </w:r>
      <w:r>
        <w:rPr>
          <w:rFonts w:hint="eastAsia" w:ascii="Times New Roman" w:hAnsi="Times New Roman" w:eastAsia="仿宋_GB2312" w:cs="仿宋_GB2312"/>
          <w:color w:val="auto"/>
          <w:spacing w:val="-6"/>
          <w:sz w:val="32"/>
          <w:szCs w:val="32"/>
          <w:lang w:val="en-US" w:eastAsia="zh-CN"/>
        </w:rPr>
        <w:t>推动</w:t>
      </w:r>
      <w:r>
        <w:rPr>
          <w:rFonts w:hint="eastAsia" w:ascii="Times New Roman" w:hAnsi="Times New Roman" w:eastAsia="仿宋_GB2312" w:cs="仿宋_GB2312"/>
          <w:color w:val="auto"/>
          <w:spacing w:val="-6"/>
          <w:sz w:val="32"/>
          <w:szCs w:val="32"/>
          <w:lang w:val="en" w:eastAsia="zh-CN"/>
        </w:rPr>
        <w:t>有条件的乡镇开展清洁能源集中供暖</w:t>
      </w:r>
      <w:r>
        <w:rPr>
          <w:rFonts w:hint="eastAsia" w:ascii="Times New Roman" w:hAnsi="Times New Roman" w:eastAsia="仿宋_GB2312" w:cs="仿宋_GB2312"/>
          <w:color w:val="auto"/>
          <w:spacing w:val="-6"/>
          <w:sz w:val="32"/>
          <w:szCs w:val="32"/>
          <w:lang w:val="en-US" w:eastAsia="zh-CN"/>
        </w:rPr>
        <w:t>试点</w:t>
      </w:r>
      <w:r>
        <w:rPr>
          <w:rFonts w:hint="eastAsia" w:ascii="仿宋_GB2312" w:hAnsi="仿宋_GB2312" w:eastAsia="仿宋_GB2312" w:cs="仿宋_GB2312"/>
          <w:color w:val="auto"/>
          <w:sz w:val="32"/>
          <w:szCs w:val="32"/>
        </w:rPr>
        <w:t>。</w:t>
      </w:r>
      <w:r>
        <w:rPr>
          <w:rFonts w:hint="eastAsia" w:ascii="Times New Roman" w:hAnsi="Times New Roman" w:eastAsia="仿宋_GB2312" w:cs="仿宋_GB2312"/>
          <w:color w:val="auto"/>
          <w:spacing w:val="-6"/>
          <w:sz w:val="32"/>
          <w:szCs w:val="32"/>
          <w:lang w:val="en-US" w:eastAsia="zh-CN"/>
        </w:rPr>
        <w:t>城市建成区原则上不再新建除供热以外的35蒸吨/小时及以下燃煤工业锅炉和工业炉窑，全面完成10蒸吨/小时及以下的燃煤锅炉淘汰。</w:t>
      </w:r>
    </w:p>
    <w:p w14:paraId="2A03500B">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08" w:name="_Toc5673"/>
      <w:bookmarkStart w:id="109" w:name="_Toc11785"/>
      <w:bookmarkStart w:id="110" w:name="_Toc15665"/>
      <w:bookmarkStart w:id="111" w:name="_Toc12737"/>
      <w:bookmarkStart w:id="112" w:name="_Toc20590"/>
      <w:bookmarkStart w:id="113" w:name="_Toc13228"/>
      <w:bookmarkStart w:id="114" w:name="_Toc4209"/>
      <w:r>
        <w:rPr>
          <w:rFonts w:hint="eastAsia" w:ascii="黑体" w:hAnsi="黑体" w:eastAsia="黑体" w:cs="黑体"/>
          <w:b w:val="0"/>
          <w:bCs w:val="0"/>
          <w:color w:val="auto"/>
          <w:sz w:val="32"/>
          <w:szCs w:val="32"/>
          <w:highlight w:val="none"/>
          <w:lang w:val="en-US" w:eastAsia="zh-CN" w:bidi="ar-SA"/>
        </w:rPr>
        <w:t>三、推动碳达峰碳中和行动</w:t>
      </w:r>
      <w:bookmarkEnd w:id="108"/>
      <w:bookmarkEnd w:id="109"/>
      <w:bookmarkEnd w:id="110"/>
      <w:bookmarkEnd w:id="111"/>
      <w:bookmarkEnd w:id="112"/>
      <w:bookmarkEnd w:id="113"/>
      <w:bookmarkEnd w:id="114"/>
    </w:p>
    <w:p w14:paraId="53E6109E">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115" w:name="_Toc26443"/>
      <w:r>
        <w:rPr>
          <w:rFonts w:hint="eastAsia" w:ascii="楷体" w:hAnsi="楷体" w:eastAsia="楷体" w:cs="楷体"/>
          <w:sz w:val="32"/>
          <w:szCs w:val="32"/>
          <w:lang w:val="en-US" w:eastAsia="zh-CN"/>
        </w:rPr>
        <w:t>（一）落实碳排放双控制度</w:t>
      </w:r>
      <w:bookmarkEnd w:id="115"/>
    </w:p>
    <w:p w14:paraId="5A93AE5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0"/>
          <w:sz w:val="32"/>
          <w:szCs w:val="32"/>
          <w:lang w:val="en"/>
        </w:rPr>
        <w:t>深入实施《昌都市碳达峰实施方案》，推进现代能源体系构建、绿色工业发展、现代服务业培育、农业领域绿色低碳发展、城乡建设绿色低碳转型、绿色低碳交通发展等各项重点工作</w:t>
      </w:r>
      <w:r>
        <w:rPr>
          <w:rFonts w:hint="eastAsia" w:ascii="Times New Roman" w:hAnsi="Times New Roman" w:eastAsia="仿宋_GB2312" w:cs="仿宋_GB2312"/>
          <w:spacing w:val="0"/>
          <w:sz w:val="32"/>
          <w:szCs w:val="32"/>
          <w:lang w:val="en" w:eastAsia="zh-CN"/>
        </w:rPr>
        <w:t>，</w:t>
      </w:r>
      <w:r>
        <w:rPr>
          <w:rFonts w:hint="eastAsia" w:ascii="Times New Roman" w:hAnsi="Times New Roman" w:eastAsia="仿宋_GB2312" w:cs="仿宋_GB2312"/>
          <w:spacing w:val="0"/>
          <w:sz w:val="32"/>
          <w:szCs w:val="32"/>
          <w:lang w:val="en-US" w:eastAsia="zh-CN"/>
        </w:rPr>
        <w:t>开展重点行业重点领域</w:t>
      </w:r>
      <w:r>
        <w:rPr>
          <w:rFonts w:hint="eastAsia" w:ascii="Times New Roman" w:hAnsi="Times New Roman" w:eastAsia="仿宋_GB2312" w:cs="仿宋_GB2312"/>
          <w:spacing w:val="0"/>
          <w:sz w:val="32"/>
          <w:szCs w:val="32"/>
          <w:lang w:val="en"/>
        </w:rPr>
        <w:t>碳达峰</w:t>
      </w:r>
      <w:r>
        <w:rPr>
          <w:rFonts w:hint="eastAsia" w:ascii="Times New Roman" w:hAnsi="Times New Roman" w:eastAsia="仿宋_GB2312" w:cs="仿宋_GB2312"/>
          <w:spacing w:val="0"/>
          <w:sz w:val="32"/>
          <w:szCs w:val="32"/>
          <w:lang w:val="en-US" w:eastAsia="zh-CN"/>
        </w:rPr>
        <w:t>专项行动。落实</w:t>
      </w:r>
      <w:r>
        <w:rPr>
          <w:rFonts w:hint="eastAsia" w:ascii="Times New Roman" w:hAnsi="Times New Roman" w:eastAsia="仿宋_GB2312" w:cs="仿宋_GB2312"/>
          <w:spacing w:val="0"/>
          <w:sz w:val="32"/>
          <w:szCs w:val="32"/>
          <w:lang w:val="en"/>
        </w:rPr>
        <w:t>重点用能单位碳排放效能管理</w:t>
      </w:r>
      <w:r>
        <w:rPr>
          <w:rFonts w:hint="eastAsia" w:ascii="Times New Roman" w:hAnsi="Times New Roman" w:eastAsia="仿宋_GB2312" w:cs="仿宋_GB2312"/>
          <w:spacing w:val="0"/>
          <w:sz w:val="32"/>
          <w:szCs w:val="32"/>
          <w:lang w:val="en-US" w:eastAsia="zh-CN"/>
        </w:rPr>
        <w:t>制度</w:t>
      </w:r>
      <w:r>
        <w:rPr>
          <w:rFonts w:hint="eastAsia" w:ascii="Times New Roman" w:hAnsi="Times New Roman" w:eastAsia="仿宋_GB2312" w:cs="仿宋_GB2312"/>
          <w:spacing w:val="0"/>
          <w:sz w:val="32"/>
          <w:szCs w:val="32"/>
          <w:lang w:val="en"/>
        </w:rPr>
        <w:t>，开展固定资产投资项目节能审查和碳排放评价</w:t>
      </w:r>
      <w:r>
        <w:rPr>
          <w:rFonts w:hint="eastAsia" w:ascii="Times New Roman" w:hAnsi="Times New Roman" w:eastAsia="仿宋" w:cs="Times New Roman"/>
          <w:sz w:val="32"/>
          <w:szCs w:val="40"/>
          <w:lang w:eastAsia="zh-CN"/>
        </w:rPr>
        <w:t>。</w:t>
      </w:r>
      <w:r>
        <w:rPr>
          <w:rFonts w:hint="eastAsia" w:ascii="Times New Roman" w:hAnsi="Times New Roman" w:eastAsia="仿宋_GB2312" w:cs="仿宋_GB2312"/>
          <w:spacing w:val="0"/>
          <w:sz w:val="32"/>
          <w:szCs w:val="32"/>
          <w:lang w:val="en"/>
        </w:rPr>
        <w:t>引导工业领域和高能耗产业工艺技术升级，控制工艺过程温室气体和污染物排放。</w:t>
      </w:r>
      <w:r>
        <w:rPr>
          <w:rFonts w:hint="eastAsia" w:ascii="Times New Roman" w:hAnsi="Times New Roman" w:eastAsia="仿宋_GB2312" w:cs="仿宋_GB2312"/>
          <w:spacing w:val="-6"/>
          <w:sz w:val="32"/>
          <w:szCs w:val="32"/>
          <w:lang w:val="en-US" w:eastAsia="zh-CN"/>
        </w:rPr>
        <w:t>推进城乡既有建筑和基础设施节能降碳改造，推行新型绿色建造方式和绿色建材，提升建筑能效水平。</w:t>
      </w:r>
    </w:p>
    <w:p w14:paraId="250BD9B5">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default" w:ascii="楷体" w:hAnsi="楷体" w:eastAsia="楷体" w:cs="楷体"/>
          <w:sz w:val="32"/>
          <w:szCs w:val="32"/>
          <w:lang w:val="en-US" w:eastAsia="zh-CN"/>
        </w:rPr>
      </w:pPr>
      <w:bookmarkStart w:id="116" w:name="_Toc31462"/>
      <w:r>
        <w:rPr>
          <w:rFonts w:hint="eastAsia" w:ascii="楷体" w:hAnsi="楷体" w:eastAsia="楷体" w:cs="楷体"/>
          <w:sz w:val="32"/>
          <w:szCs w:val="32"/>
          <w:lang w:val="en-US" w:eastAsia="zh-CN"/>
        </w:rPr>
        <w:t>（二）</w:t>
      </w:r>
      <w:r>
        <w:rPr>
          <w:rFonts w:hint="default" w:ascii="楷体" w:hAnsi="楷体" w:eastAsia="楷体" w:cs="楷体"/>
          <w:sz w:val="32"/>
          <w:szCs w:val="32"/>
          <w:lang w:val="en-US" w:eastAsia="zh-CN"/>
        </w:rPr>
        <w:t>提升生态系统碳汇能力</w:t>
      </w:r>
      <w:bookmarkEnd w:id="116"/>
    </w:p>
    <w:p w14:paraId="7963299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pPr>
      <w:r>
        <w:rPr>
          <w:rFonts w:hint="default" w:ascii="Times New Roman" w:hAnsi="Times New Roman" w:eastAsia="仿宋_GB2312" w:cs="仿宋_GB2312"/>
          <w:spacing w:val="-6"/>
          <w:sz w:val="32"/>
          <w:szCs w:val="32"/>
          <w:lang w:val="en-US" w:eastAsia="zh-CN"/>
        </w:rPr>
        <w:t>充分发挥生态系统碳汇潜力，主动服务国家“双碳”目标。深化碳汇本底调查，摸清高原碳汇底数，完善碳排放总量和强度双控管理，构建碳汇监测核算与价值转化</w:t>
      </w:r>
      <w:r>
        <w:rPr>
          <w:rFonts w:hint="eastAsia" w:ascii="Times New Roman" w:hAnsi="Times New Roman" w:eastAsia="仿宋_GB2312" w:cs="仿宋_GB2312"/>
          <w:spacing w:val="-6"/>
          <w:sz w:val="32"/>
          <w:szCs w:val="32"/>
          <w:lang w:val="en-US" w:eastAsia="zh-CN"/>
        </w:rPr>
        <w:t>管理体系</w:t>
      </w:r>
      <w:r>
        <w:rPr>
          <w:rFonts w:hint="default" w:ascii="Times New Roman" w:hAnsi="Times New Roman" w:eastAsia="仿宋_GB2312" w:cs="仿宋_GB2312"/>
          <w:spacing w:val="-6"/>
          <w:sz w:val="32"/>
          <w:szCs w:val="32"/>
          <w:lang w:val="en-US" w:eastAsia="zh-CN"/>
        </w:rPr>
        <w:t>，严格保护高原独特的碳汇资源。积极实施生态修复工程，加强冰川冻土保护、增强生态固碳能力，以碳汇与生态价值实现为核心，提升价值转化能力。</w:t>
      </w:r>
    </w:p>
    <w:p w14:paraId="1508DB65">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17" w:name="_Toc13234"/>
      <w:r>
        <w:rPr>
          <w:rFonts w:hint="eastAsia" w:ascii="楷体" w:hAnsi="楷体" w:eastAsia="楷体" w:cs="楷体"/>
          <w:sz w:val="32"/>
          <w:szCs w:val="32"/>
          <w:lang w:val="en-US" w:eastAsia="zh-CN"/>
        </w:rPr>
        <w:t>（三）倡导绿色低碳生活方式</w:t>
      </w:r>
      <w:bookmarkEnd w:id="117"/>
    </w:p>
    <w:p w14:paraId="03A3938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 w:cs="Times New Roman"/>
          <w:sz w:val="32"/>
          <w:szCs w:val="40"/>
        </w:rPr>
      </w:pPr>
      <w:r>
        <w:rPr>
          <w:rFonts w:hint="eastAsia" w:ascii="Times New Roman" w:hAnsi="Times New Roman" w:eastAsia="仿宋_GB2312" w:cs="仿宋_GB2312"/>
          <w:spacing w:val="-6"/>
          <w:sz w:val="32"/>
          <w:szCs w:val="32"/>
          <w:lang w:val="en-US" w:eastAsia="zh-CN"/>
        </w:rPr>
        <w:t>倡导简约适度、绿色低碳、文明健康的生活理念和消费模式，增强居民节能环保意识。发挥公共机构、学校示范作用，积极开展节约型机关、低碳机关、低碳校园等建设活动。严格执行政府绿色采购政策，</w:t>
      </w:r>
      <w:r>
        <w:rPr>
          <w:rFonts w:hint="eastAsia" w:ascii="Times New Roman" w:hAnsi="Times New Roman" w:eastAsia="仿宋_GB2312" w:cs="仿宋_GB2312"/>
          <w:sz w:val="32"/>
          <w:szCs w:val="32"/>
        </w:rPr>
        <w:t>实施政府绿色采购，引导企业执行绿色采购指南</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pacing w:val="-6"/>
          <w:sz w:val="32"/>
          <w:szCs w:val="32"/>
          <w:lang w:val="en-US" w:eastAsia="zh-CN"/>
        </w:rPr>
        <w:t>大力倡导绿色出行，优先选择步行、骑行或公共交通，减少私家车使用。持续推进“光盘行动”，抵制过度包装，减少一次性用品使用，倡导节约用水、节约用电、节约用纸；加强绿色低碳宣传引导，普及垃圾分类、节能降碳知识，增强社会公众生态环境保护意识，形成崇尚节约节能、绿色消费与低碳环保的社会风尚。</w:t>
      </w:r>
    </w:p>
    <w:p w14:paraId="16B7230F">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118" w:name="_Toc14530"/>
      <w:bookmarkStart w:id="119" w:name="_Toc10431"/>
      <w:r>
        <w:rPr>
          <w:rFonts w:hint="eastAsia" w:ascii="方正小标宋简体" w:hAnsi="方正小标宋简体" w:eastAsia="方正小标宋简体" w:cs="方正小标宋简体"/>
          <w:sz w:val="32"/>
          <w:szCs w:val="32"/>
          <w:lang w:val="en-US" w:eastAsia="zh-CN"/>
        </w:rPr>
        <w:t xml:space="preserve"> </w:t>
      </w:r>
      <w:bookmarkStart w:id="120" w:name="_Toc31209"/>
      <w:r>
        <w:rPr>
          <w:rFonts w:hint="eastAsia" w:ascii="方正小标宋简体" w:hAnsi="方正小标宋简体" w:eastAsia="方正小标宋简体" w:cs="方正小标宋简体"/>
          <w:sz w:val="32"/>
          <w:szCs w:val="32"/>
          <w:lang w:val="en-US" w:eastAsia="zh-CN"/>
        </w:rPr>
        <w:t>全面守护生态安全底线</w:t>
      </w:r>
      <w:bookmarkEnd w:id="118"/>
      <w:bookmarkEnd w:id="119"/>
      <w:bookmarkEnd w:id="120"/>
    </w:p>
    <w:p w14:paraId="39A86B5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 w:cs="仿宋_GB2312"/>
          <w:sz w:val="32"/>
          <w:szCs w:val="32"/>
          <w:lang w:val="en-US" w:eastAsia="zh-CN"/>
        </w:rPr>
      </w:pPr>
      <w:r>
        <w:rPr>
          <w:rFonts w:hint="eastAsia" w:ascii="Times New Roman" w:hAnsi="Times New Roman" w:eastAsia="仿宋_GB2312" w:cs="仿宋_GB2312"/>
          <w:sz w:val="32"/>
          <w:szCs w:val="32"/>
          <w:lang w:val="en-US" w:eastAsia="zh-CN"/>
        </w:rPr>
        <w:t>严密防控危险化学品、危险废物、放辐射等</w:t>
      </w:r>
      <w:r>
        <w:rPr>
          <w:rFonts w:hint="eastAsia" w:ascii="Times New Roman" w:hAnsi="Times New Roman" w:eastAsia="仿宋" w:cs="Times New Roman"/>
          <w:sz w:val="32"/>
          <w:szCs w:val="40"/>
        </w:rPr>
        <w:t>重点领域环境风险</w:t>
      </w:r>
      <w:r>
        <w:rPr>
          <w:rFonts w:hint="eastAsia" w:ascii="Times New Roman" w:hAnsi="Times New Roman" w:eastAsia="仿宋" w:cs="Times New Roman"/>
          <w:sz w:val="32"/>
          <w:szCs w:val="40"/>
          <w:lang w:eastAsia="zh-CN"/>
        </w:rPr>
        <w:t>，</w:t>
      </w:r>
      <w:r>
        <w:rPr>
          <w:rFonts w:hint="eastAsia" w:ascii="Times New Roman" w:hAnsi="Times New Roman" w:eastAsia="仿宋" w:cs="Times New Roman"/>
          <w:sz w:val="32"/>
          <w:szCs w:val="40"/>
          <w:lang w:val="en-US" w:eastAsia="zh-CN"/>
        </w:rPr>
        <w:t>加强森林草原防灭火</w:t>
      </w:r>
      <w:r>
        <w:rPr>
          <w:rFonts w:hint="eastAsia" w:ascii="Times New Roman" w:hAnsi="Times New Roman" w:eastAsia="仿宋_GB2312" w:cs="仿宋_GB2312"/>
          <w:sz w:val="32"/>
          <w:szCs w:val="32"/>
          <w:lang w:val="en-US" w:eastAsia="zh-CN"/>
        </w:rPr>
        <w:t>、地质灾害综合防治，有效防范新污染物环境与健康风险，提升应对突发环境事件综合处置能力，守牢生态安全底线。</w:t>
      </w:r>
    </w:p>
    <w:p w14:paraId="31A63EE0">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21" w:name="_Toc17998"/>
      <w:bookmarkStart w:id="122" w:name="_Toc27663"/>
      <w:bookmarkStart w:id="123" w:name="_Toc13089"/>
      <w:r>
        <w:rPr>
          <w:rFonts w:hint="eastAsia" w:ascii="黑体" w:hAnsi="黑体" w:eastAsia="黑体" w:cs="黑体"/>
          <w:b w:val="0"/>
          <w:bCs w:val="0"/>
          <w:color w:val="auto"/>
          <w:sz w:val="32"/>
          <w:szCs w:val="32"/>
          <w:highlight w:val="none"/>
          <w:lang w:val="en-US" w:eastAsia="zh-CN" w:bidi="ar-SA"/>
        </w:rPr>
        <w:t>一、健全环境风险防控体系</w:t>
      </w:r>
      <w:bookmarkEnd w:id="121"/>
      <w:bookmarkEnd w:id="122"/>
      <w:bookmarkEnd w:id="123"/>
    </w:p>
    <w:p w14:paraId="2260A4A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24" w:name="_Toc2770"/>
      <w:r>
        <w:rPr>
          <w:rFonts w:hint="eastAsia" w:ascii="楷体" w:hAnsi="楷体" w:eastAsia="楷体" w:cs="楷体"/>
          <w:sz w:val="32"/>
          <w:szCs w:val="32"/>
          <w:lang w:val="en-US" w:eastAsia="zh-CN"/>
        </w:rPr>
        <w:t>（一）强化危化学品运输风险防范</w:t>
      </w:r>
      <w:bookmarkEnd w:id="124"/>
    </w:p>
    <w:p w14:paraId="79953AA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楷体" w:hAnsi="楷体" w:eastAsia="楷体" w:cs="楷体"/>
          <w:sz w:val="32"/>
          <w:szCs w:val="32"/>
          <w:lang w:val="en-US" w:eastAsia="zh-CN"/>
        </w:rPr>
      </w:pPr>
      <w:r>
        <w:rPr>
          <w:rFonts w:hint="eastAsia" w:ascii="Times New Roman" w:hAnsi="Times New Roman" w:eastAsia="仿宋_GB2312" w:cs="仿宋_GB2312"/>
          <w:sz w:val="32"/>
          <w:szCs w:val="32"/>
          <w:lang w:val="en-US" w:eastAsia="zh-CN"/>
        </w:rPr>
        <w:t>强化危险化学品运输环境安全管控，深化跨部门协同监管，严把运输准入、路线通行、装载储运各环节关口，严厉查处违规运输行为。配合市级部门，推动危险化学品道路运输突发水污染事件环境应急“一路一策一图”工作，重点对G317国道开展风险辨识评估，摸清沿线水源地、生态保护区等敏感目标，识别环境风险管控路段，查找挖掘道路及周边可用管用的环境应急空间与设施，完善危险化学品道路运输环境风险防控措施。</w:t>
      </w:r>
    </w:p>
    <w:p w14:paraId="4FFE08C2">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25" w:name="_Toc17636"/>
      <w:r>
        <w:rPr>
          <w:rFonts w:hint="eastAsia" w:ascii="楷体" w:hAnsi="楷体" w:eastAsia="楷体" w:cs="楷体"/>
          <w:sz w:val="32"/>
          <w:szCs w:val="32"/>
          <w:lang w:val="en-US" w:eastAsia="zh-CN"/>
        </w:rPr>
        <w:t>（二）强化危险废物全过程管理</w:t>
      </w:r>
      <w:bookmarkEnd w:id="125"/>
    </w:p>
    <w:p w14:paraId="208B891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pacing w:val="-6"/>
          <w:sz w:val="32"/>
          <w:szCs w:val="32"/>
          <w:lang w:val="en-US" w:eastAsia="zh-CN"/>
        </w:rPr>
        <w:t>加强危险废物规范化环境管理。</w:t>
      </w:r>
      <w:r>
        <w:rPr>
          <w:rFonts w:hint="eastAsia" w:ascii="Times New Roman" w:hAnsi="Times New Roman" w:eastAsia="仿宋_GB2312" w:cs="仿宋_GB2312"/>
          <w:sz w:val="32"/>
          <w:szCs w:val="32"/>
          <w:lang w:val="en-US" w:eastAsia="zh-CN"/>
        </w:rPr>
        <w:t>推进危险废物全过程环境管理信息管理，加强危险废物产生单位培训指导，督促企业应用危险废物全过程环境管理信息系统，开展</w:t>
      </w:r>
      <w:r>
        <w:rPr>
          <w:rFonts w:hint="eastAsia" w:ascii="Times New Roman" w:hAnsi="Times New Roman" w:eastAsia="仿宋_GB2312" w:cs="仿宋_GB2312"/>
          <w:sz w:val="32"/>
          <w:szCs w:val="32"/>
          <w:lang w:val="en" w:eastAsia="zh-CN"/>
        </w:rPr>
        <w:t>危险废物转移电子联单、管理计划和产废年报填报。推进危险废物产生</w:t>
      </w:r>
      <w:r>
        <w:rPr>
          <w:rFonts w:hint="eastAsia" w:ascii="Times New Roman" w:hAnsi="Times New Roman" w:eastAsia="仿宋_GB2312" w:cs="仿宋_GB2312"/>
          <w:sz w:val="32"/>
          <w:szCs w:val="32"/>
          <w:lang w:val="en-US" w:eastAsia="zh-CN"/>
        </w:rPr>
        <w:t>量50吨以上的产废</w:t>
      </w:r>
      <w:r>
        <w:rPr>
          <w:rFonts w:hint="eastAsia" w:ascii="Times New Roman" w:hAnsi="Times New Roman" w:eastAsia="仿宋_GB2312" w:cs="仿宋_GB2312"/>
          <w:sz w:val="32"/>
          <w:szCs w:val="32"/>
          <w:lang w:val="en" w:eastAsia="zh-CN"/>
        </w:rPr>
        <w:t>单位“五即”（危险废物即产生、即包装、即称重、即打码、即入库）规范化建设</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lang w:val="en" w:eastAsia="zh-CN"/>
        </w:rPr>
        <w:t>持续</w:t>
      </w:r>
      <w:r>
        <w:rPr>
          <w:rFonts w:hint="eastAsia" w:ascii="Times New Roman" w:hAnsi="Times New Roman" w:eastAsia="仿宋_GB2312" w:cs="仿宋_GB2312"/>
          <w:sz w:val="32"/>
          <w:szCs w:val="32"/>
          <w:lang w:val="en-US" w:eastAsia="zh-CN"/>
        </w:rPr>
        <w:t>推进</w:t>
      </w:r>
      <w:r>
        <w:rPr>
          <w:rFonts w:hint="eastAsia" w:ascii="Times New Roman" w:hAnsi="Times New Roman" w:eastAsia="仿宋_GB2312" w:cs="仿宋_GB2312"/>
          <w:sz w:val="32"/>
          <w:szCs w:val="32"/>
          <w:lang w:val="en" w:eastAsia="zh-CN"/>
        </w:rPr>
        <w:t>危险废物规范化环境管理评估工作，严密防控危险废物环境风险。</w:t>
      </w:r>
      <w:r>
        <w:rPr>
          <w:rFonts w:hint="eastAsia" w:ascii="Times New Roman" w:hAnsi="Times New Roman" w:eastAsia="仿宋_GB2312" w:cs="仿宋_GB2312"/>
          <w:sz w:val="32"/>
          <w:szCs w:val="32"/>
          <w:lang w:val="en-US" w:eastAsia="zh-CN"/>
        </w:rPr>
        <w:t>配合市级部门推动昌都市小微企业危险废物</w:t>
      </w:r>
      <w:r>
        <w:rPr>
          <w:rFonts w:hint="eastAsia" w:ascii="Times New Roman" w:hAnsi="Times New Roman" w:eastAsia="仿宋_GB2312" w:cs="仿宋_GB2312"/>
          <w:sz w:val="32"/>
          <w:szCs w:val="32"/>
          <w:lang w:val="en" w:eastAsia="zh-CN"/>
        </w:rPr>
        <w:t>收集</w:t>
      </w:r>
      <w:r>
        <w:rPr>
          <w:rFonts w:hint="eastAsia" w:ascii="Times New Roman" w:hAnsi="Times New Roman" w:eastAsia="仿宋_GB2312" w:cs="仿宋_GB2312"/>
          <w:sz w:val="32"/>
          <w:szCs w:val="32"/>
          <w:lang w:val="en-US" w:eastAsia="zh-CN"/>
        </w:rPr>
        <w:t>工作，确保小微企业危险废物应收尽收。</w:t>
      </w:r>
    </w:p>
    <w:p w14:paraId="7A1A81E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9"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pacing w:val="-6"/>
          <w:sz w:val="32"/>
          <w:szCs w:val="32"/>
          <w:lang w:val="en-US" w:eastAsia="zh-CN"/>
        </w:rPr>
        <w:t>强化医疗废物全过程管理。</w:t>
      </w:r>
      <w:r>
        <w:rPr>
          <w:rFonts w:hint="eastAsia" w:ascii="Times New Roman" w:hAnsi="Times New Roman" w:eastAsia="仿宋_GB2312" w:cs="仿宋_GB2312"/>
          <w:sz w:val="32"/>
          <w:szCs w:val="32"/>
          <w:lang w:val="en-US" w:eastAsia="zh-CN"/>
        </w:rPr>
        <w:t>督促医疗卫生机构落实医疗废物管理主体责任，完善医疗废物规范管理制度，落实医疗废物管理责任制，执行危险废物转移联单管理制度。督促医疗机构加强医疗废物分类收集、暂存管理工作，按照类别分置于防渗漏、防锐器穿透的专用包装物或者密闭的容器内，建立完善医疗废物暂时贮存设施、设备。按照市级部署</w:t>
      </w:r>
      <w:r>
        <w:rPr>
          <w:rFonts w:hint="eastAsia" w:ascii="Times New Roman" w:hAnsi="Times New Roman" w:eastAsia="仿宋_GB2312" w:cs="仿宋_GB2312"/>
          <w:sz w:val="32"/>
          <w:szCs w:val="32"/>
          <w:lang w:val="en" w:eastAsia="zh-CN"/>
        </w:rPr>
        <w:t>，做好</w:t>
      </w:r>
      <w:r>
        <w:rPr>
          <w:rFonts w:hint="eastAsia" w:ascii="Times New Roman" w:hAnsi="Times New Roman" w:eastAsia="仿宋_GB2312" w:cs="仿宋_GB2312"/>
          <w:sz w:val="32"/>
          <w:szCs w:val="32"/>
          <w:lang w:val="en-US" w:eastAsia="zh-CN"/>
        </w:rPr>
        <w:t>医疗机构</w:t>
      </w:r>
      <w:r>
        <w:rPr>
          <w:rFonts w:hint="eastAsia" w:ascii="Times New Roman" w:hAnsi="Times New Roman" w:eastAsia="仿宋_GB2312" w:cs="仿宋_GB2312"/>
          <w:sz w:val="32"/>
          <w:szCs w:val="32"/>
          <w:lang w:val="en" w:eastAsia="zh-CN"/>
        </w:rPr>
        <w:t>可回收物分类工作。</w:t>
      </w:r>
    </w:p>
    <w:p w14:paraId="27A57451">
      <w:pPr>
        <w:keepNext w:val="0"/>
        <w:keepLines w:val="0"/>
        <w:pageBreakBefore w:val="0"/>
        <w:widowControl w:val="0"/>
        <w:numPr>
          <w:ilvl w:val="0"/>
          <w:numId w:val="8"/>
        </w:numPr>
        <w:kinsoku/>
        <w:wordWrap/>
        <w:overflowPunct/>
        <w:topLinePunct w:val="0"/>
        <w:autoSpaceDE/>
        <w:autoSpaceDN/>
        <w:bidi w:val="0"/>
        <w:adjustRightInd w:val="0"/>
        <w:snapToGrid w:val="0"/>
        <w:spacing w:line="640" w:lineRule="exact"/>
        <w:ind w:left="0" w:leftChars="0" w:firstLine="640" w:firstLineChars="200"/>
        <w:jc w:val="left"/>
        <w:textAlignment w:val="auto"/>
        <w:outlineLvl w:val="2"/>
        <w:rPr>
          <w:rFonts w:hint="eastAsia" w:ascii="楷体" w:hAnsi="楷体" w:eastAsia="楷体" w:cs="楷体"/>
          <w:sz w:val="32"/>
          <w:szCs w:val="32"/>
          <w:lang w:val="en-US" w:eastAsia="zh-CN"/>
        </w:rPr>
      </w:pPr>
      <w:bookmarkStart w:id="126" w:name="_Toc12719"/>
      <w:r>
        <w:rPr>
          <w:rFonts w:hint="eastAsia" w:ascii="楷体" w:hAnsi="楷体" w:eastAsia="楷体" w:cs="楷体"/>
          <w:sz w:val="32"/>
          <w:szCs w:val="32"/>
          <w:lang w:val="en-US" w:eastAsia="zh-CN"/>
        </w:rPr>
        <w:t>强化其他领域环境风险防范</w:t>
      </w:r>
      <w:bookmarkEnd w:id="126"/>
    </w:p>
    <w:p w14:paraId="7D60383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持续推进政府、重点流域、生态环境部门、工业园区、环境风险企业、水源地及取供水单位的突发环境事件风险评估工作，全面掌握环境风险底数与现状。</w:t>
      </w:r>
      <w:r>
        <w:rPr>
          <w:rFonts w:hint="eastAsia" w:ascii="Times New Roman" w:hAnsi="Times New Roman" w:eastAsia="仿宋_GB2312" w:cs="仿宋_GB2312"/>
          <w:sz w:val="32"/>
          <w:szCs w:val="32"/>
          <w:lang w:val="en-US" w:eastAsia="zh-CN"/>
        </w:rPr>
        <w:t>落实电磁辐射设施分类管理和排污许可制度，持续开展辐射安全隐患排查整治，督促利用单位及时送贮废弃、闲置放射源，严防辐射事故发生，实现废旧放射源100%安全收贮。</w:t>
      </w:r>
      <w:r>
        <w:rPr>
          <w:rFonts w:hint="eastAsia" w:ascii="Times New Roman" w:hAnsi="Times New Roman" w:eastAsia="仿宋_GB2312" w:cs="仿宋_GB2312"/>
          <w:spacing w:val="-6"/>
          <w:sz w:val="32"/>
          <w:szCs w:val="32"/>
          <w:lang w:val="en" w:eastAsia="zh-CN"/>
        </w:rPr>
        <w:t>配合市级开展化学物质环境信息调查、环境风险筛查和评估</w:t>
      </w:r>
      <w:r>
        <w:rPr>
          <w:rFonts w:hint="eastAsia" w:ascii="Times New Roman" w:hAnsi="Times New Roman" w:eastAsia="仿宋_GB2312" w:cs="仿宋_GB2312"/>
          <w:spacing w:val="-6"/>
          <w:sz w:val="32"/>
          <w:szCs w:val="32"/>
          <w:highlight w:val="none"/>
          <w:lang w:val="en-US" w:eastAsia="zh-CN"/>
        </w:rPr>
        <w:t>，</w:t>
      </w:r>
      <w:r>
        <w:rPr>
          <w:rFonts w:hint="eastAsia" w:ascii="Times New Roman" w:hAnsi="Times New Roman" w:eastAsia="仿宋_GB2312" w:cs="仿宋_GB2312"/>
          <w:spacing w:val="-6"/>
          <w:sz w:val="32"/>
          <w:szCs w:val="32"/>
          <w:lang w:val="en" w:eastAsia="zh-CN"/>
        </w:rPr>
        <w:t>严格落实重点管控新污染物环境风险管控措施</w:t>
      </w:r>
      <w:r>
        <w:rPr>
          <w:rFonts w:hint="eastAsia" w:ascii="Times New Roman" w:hAnsi="Times New Roman" w:eastAsia="仿宋_GB2312" w:cs="仿宋_GB2312"/>
          <w:spacing w:val="-6"/>
          <w:sz w:val="32"/>
          <w:szCs w:val="32"/>
          <w:lang w:val="en-US" w:eastAsia="zh-CN"/>
        </w:rPr>
        <w:t>；</w:t>
      </w:r>
      <w:r>
        <w:rPr>
          <w:rFonts w:hint="eastAsia" w:ascii="Times New Roman" w:hAnsi="Times New Roman" w:eastAsia="仿宋_GB2312" w:cs="仿宋_GB2312"/>
          <w:spacing w:val="-6"/>
          <w:sz w:val="32"/>
          <w:szCs w:val="32"/>
          <w:lang w:val="en" w:eastAsia="zh-CN"/>
        </w:rPr>
        <w:t>规范医疗机构抗菌药物、兽用抗菌药使用管理。</w:t>
      </w:r>
    </w:p>
    <w:p w14:paraId="1D46A850">
      <w:pPr>
        <w:pStyle w:val="4"/>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27" w:name="_Toc16121"/>
      <w:r>
        <w:rPr>
          <w:rFonts w:hint="eastAsia" w:ascii="黑体" w:hAnsi="黑体" w:eastAsia="黑体" w:cs="黑体"/>
          <w:b w:val="0"/>
          <w:bCs w:val="0"/>
          <w:color w:val="auto"/>
          <w:sz w:val="32"/>
          <w:szCs w:val="32"/>
          <w:highlight w:val="none"/>
          <w:lang w:val="en-US" w:eastAsia="zh-CN" w:bidi="ar-SA"/>
        </w:rPr>
        <w:t>二、提升森林草原防灭火能力</w:t>
      </w:r>
      <w:bookmarkEnd w:id="127"/>
    </w:p>
    <w:p w14:paraId="5E78726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eastAsia" w:ascii="楷体" w:hAnsi="楷体" w:eastAsia="楷体" w:cs="楷体"/>
          <w:sz w:val="32"/>
          <w:szCs w:val="32"/>
          <w:lang w:val="en-US" w:eastAsia="zh-CN"/>
        </w:rPr>
      </w:pPr>
      <w:bookmarkStart w:id="128" w:name="_Toc28167"/>
      <w:r>
        <w:rPr>
          <w:rFonts w:hint="eastAsia" w:ascii="楷体" w:hAnsi="楷体" w:eastAsia="楷体" w:cs="楷体"/>
          <w:sz w:val="32"/>
          <w:szCs w:val="32"/>
          <w:lang w:val="en-US" w:eastAsia="zh-CN"/>
        </w:rPr>
        <w:t>（一）健全森林草原防灭火防控体系</w:t>
      </w:r>
      <w:bookmarkEnd w:id="128"/>
    </w:p>
    <w:p w14:paraId="79925CC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健全森林草原火险预警监测体系，建设森林草原火险预警平台，提高基于信息指挥系统的森林草原防灭火指挥调度能力，完善县、乡（镇）各级信息指挥设施设备，强化与协同单位之间的互联互通，建成“纵向贯通、横向互连、实时感知、精确指挥”的一体化指挥体系，完善乡镇卫星定位仪，卫星电话，手持对讲机和防火通信传输系统，精准发布重点区域火险等级预警，强化高火险时段研判与预警信息推送，做到早发现、早预警、早处置。根据全县林区道路以及巡护道路现状分布情况，完善区域防火道路，充分发挥森林消防蓄水池灭火中转站作用，在重点林区规范建设消防蓄水池及配套设施，解决防灭火就近取水难题，夯实火灾扑救基础条件。</w:t>
      </w:r>
    </w:p>
    <w:p w14:paraId="02C910FE">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eastAsia" w:ascii="楷体" w:hAnsi="楷体" w:eastAsia="楷体" w:cs="楷体"/>
          <w:sz w:val="32"/>
          <w:szCs w:val="32"/>
          <w:lang w:val="en-US" w:eastAsia="zh-CN"/>
        </w:rPr>
      </w:pPr>
      <w:bookmarkStart w:id="129" w:name="_Toc9800"/>
      <w:r>
        <w:rPr>
          <w:rFonts w:hint="eastAsia" w:ascii="楷体" w:hAnsi="楷体" w:eastAsia="楷体" w:cs="楷体"/>
          <w:sz w:val="32"/>
          <w:szCs w:val="32"/>
          <w:lang w:val="en-US" w:eastAsia="zh-CN"/>
        </w:rPr>
        <w:t>（二）强化防火能力建设与宣传教育</w:t>
      </w:r>
      <w:bookmarkEnd w:id="129"/>
    </w:p>
    <w:p w14:paraId="78C9713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参考《森林防火物资储备库工程项目建设标准》《草原防火物资储备库建设标准》等相关要求，在全县林草资源丰富、防火压力大的尺犊镇、当堆乡、桑多乡、觉恩乡新建应急物资储备库4座，单座储备库300平方米。按照《森林消防专业队伍建设标准》的要求，提升基本装备和人员装备水平，加强队伍快速反应能力和扑救森林草原火灾能力。强化实战化训练与应急演练，提升扑火指挥、协同作战、紧急避险能力。进一步开展“进林区、进农户、进社区、进单位、进学校、进风景旅游区”的森林草原防灭火宣传教育活动，每年防火期，组织开展“宣传月”“宣传周”活动，利用多种形式对全民进行森林草原防灭火科普知识、火灾扑救和安全避险知识的教育，构建全民参与、全域防控、全程负责的防火格局。</w:t>
      </w:r>
    </w:p>
    <w:p w14:paraId="5AED9339">
      <w:pPr>
        <w:pStyle w:val="4"/>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30" w:name="_Toc3769"/>
      <w:r>
        <w:rPr>
          <w:rFonts w:hint="eastAsia" w:ascii="黑体" w:hAnsi="黑体" w:eastAsia="黑体" w:cs="黑体"/>
          <w:b w:val="0"/>
          <w:bCs w:val="0"/>
          <w:color w:val="auto"/>
          <w:sz w:val="32"/>
          <w:szCs w:val="32"/>
          <w:highlight w:val="none"/>
          <w:lang w:val="en-US" w:eastAsia="zh-CN" w:bidi="ar-SA"/>
        </w:rPr>
        <w:t>三、强化地质灾害综合防治</w:t>
      </w:r>
      <w:bookmarkEnd w:id="130"/>
    </w:p>
    <w:p w14:paraId="2F547D8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31" w:name="_Toc15739"/>
      <w:r>
        <w:rPr>
          <w:rFonts w:hint="eastAsia" w:ascii="楷体" w:hAnsi="楷体" w:eastAsia="楷体" w:cs="楷体"/>
          <w:sz w:val="32"/>
          <w:szCs w:val="32"/>
          <w:lang w:val="en-US" w:eastAsia="zh-CN"/>
        </w:rPr>
        <w:t>（一）加强地质灾害排查与防治</w:t>
      </w:r>
      <w:bookmarkEnd w:id="131"/>
    </w:p>
    <w:p w14:paraId="7F75AFC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开展桑多乡、甘岩乡、觉恩乡、尺牍镇等4个乡镇1:10000精细化调查，实施地质灾害隐患的致灾体、承灾体调查与风险隐患识别工作，通过技术手段精准识别并摸清地质灾害风险底数，确定地质灾害致灾机理，通过综合研判，科学分区划定地质灾害风险区，切实提高基层地质灾害防治水平。推进地质灾害防治，针对矿山开发区域，以消除次生地质灾害隐患为核心，综合采取人工辅助与生态修复措施，系统修复矿山地质环境。针对交通干线、水利设施等线性工程，在确保工程安全稳定的前提下，优先保护原生植被与自然地貌，推动生态修复与周边地形地貌景观有机融合。对城镇周边、村庄聚居区、道路节点等重点地段，采取修筑防护堤、挡土墙、分水沟、抗滑桩、削坡减载等工程治理措施，从根本上管控灾害风险。</w:t>
      </w:r>
    </w:p>
    <w:p w14:paraId="7D77C68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eastAsia" w:ascii="楷体" w:hAnsi="楷体" w:eastAsia="楷体" w:cs="楷体"/>
          <w:sz w:val="32"/>
          <w:szCs w:val="32"/>
          <w:lang w:val="en-US" w:eastAsia="zh-CN"/>
        </w:rPr>
      </w:pPr>
      <w:bookmarkStart w:id="132" w:name="_Toc26083"/>
      <w:r>
        <w:rPr>
          <w:rFonts w:hint="eastAsia" w:ascii="楷体" w:hAnsi="楷体" w:eastAsia="楷体" w:cs="楷体"/>
          <w:sz w:val="32"/>
          <w:szCs w:val="32"/>
          <w:lang w:val="en-US" w:eastAsia="zh-CN"/>
        </w:rPr>
        <w:t>（二）加强基层减灾能力建设</w:t>
      </w:r>
      <w:bookmarkEnd w:id="132"/>
    </w:p>
    <w:p w14:paraId="7FFD194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推进乡镇、村（社区）应急组织、物资装备和预案演练标准化建设。完善乡镇应急救援装备（卫星电话、发电机、急救包等）。指导村（社区）制定“多案合一”应急手册，明确风险清单、疏散路线和职责分工。开展基层灾害信息员开展地图标绘、信息采集等技能培训，提升灾情速报与先期处置能力。引导家庭制定应急预案，并配备家庭应急包。</w:t>
      </w:r>
      <w:r>
        <w:rPr>
          <w:rFonts w:hint="default" w:ascii="Times New Roman" w:hAnsi="Times New Roman" w:eastAsia="仿宋_GB2312" w:cs="仿宋_GB2312"/>
          <w:spacing w:val="-6"/>
          <w:sz w:val="32"/>
          <w:szCs w:val="32"/>
          <w:lang w:val="en-US" w:eastAsia="zh-CN"/>
        </w:rPr>
        <w:t>健全重点隐患点与一般隐患点常态化监测预警机制，落实监测责任、完善预警体系，全力保障人民群众生命财产安全与重要基础设施运行安全</w:t>
      </w:r>
      <w:r>
        <w:rPr>
          <w:rFonts w:hint="eastAsia" w:ascii="Times New Roman" w:hAnsi="Times New Roman" w:eastAsia="仿宋_GB2312" w:cs="仿宋_GB2312"/>
          <w:spacing w:val="-6"/>
          <w:sz w:val="32"/>
          <w:szCs w:val="32"/>
          <w:lang w:val="en-US" w:eastAsia="zh-CN"/>
        </w:rPr>
        <w:t>。</w:t>
      </w:r>
    </w:p>
    <w:p w14:paraId="59A9B3C4">
      <w:pPr>
        <w:pStyle w:val="4"/>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33" w:name="_Toc18388"/>
      <w:r>
        <w:rPr>
          <w:rFonts w:hint="eastAsia" w:ascii="黑体" w:hAnsi="黑体" w:eastAsia="黑体" w:cs="黑体"/>
          <w:b w:val="0"/>
          <w:bCs w:val="0"/>
          <w:color w:val="auto"/>
          <w:sz w:val="32"/>
          <w:szCs w:val="32"/>
          <w:highlight w:val="none"/>
          <w:lang w:val="en-US" w:eastAsia="zh-CN" w:bidi="ar-SA"/>
        </w:rPr>
        <w:t>四、提升突发环境事件应急处置能力</w:t>
      </w:r>
      <w:bookmarkEnd w:id="133"/>
    </w:p>
    <w:p w14:paraId="621349C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z w:val="32"/>
          <w:szCs w:val="32"/>
          <w:lang w:val="en-US" w:eastAsia="zh-CN"/>
        </w:rPr>
        <w:t>扎实开展危险化学品运输、工矿企业、涉危险废物等环境隐患排查，建立问题台账，限期完成问题整改。配合市级部门统筹“一河一策一图”“一路一策一图”环境应急防范体系，深化环境应急基础能力建设，完善应急响应和物资储备体系。加强突发环境事件应急预案管理，及时修编政府、部门、企业、水源地等</w:t>
      </w:r>
      <w:r>
        <w:rPr>
          <w:rFonts w:hint="eastAsia" w:ascii="Times New Roman" w:hAnsi="Times New Roman" w:eastAsia="仿宋_GB2312" w:cs="仿宋_GB2312"/>
          <w:spacing w:val="-6"/>
          <w:sz w:val="32"/>
          <w:szCs w:val="32"/>
          <w:lang w:val="en-US" w:eastAsia="zh-CN"/>
        </w:rPr>
        <w:t>突发环境事件</w:t>
      </w:r>
      <w:r>
        <w:rPr>
          <w:rFonts w:hint="eastAsia" w:ascii="Times New Roman" w:hAnsi="Times New Roman" w:eastAsia="仿宋_GB2312" w:cs="仿宋_GB2312"/>
          <w:sz w:val="32"/>
          <w:szCs w:val="32"/>
          <w:lang w:val="en-US" w:eastAsia="zh-CN"/>
        </w:rPr>
        <w:t>应急预案，</w:t>
      </w:r>
      <w:r>
        <w:rPr>
          <w:rFonts w:hint="eastAsia" w:ascii="Times New Roman" w:hAnsi="Times New Roman" w:eastAsia="仿宋_GB2312" w:cs="仿宋_GB2312"/>
          <w:spacing w:val="-6"/>
          <w:sz w:val="32"/>
          <w:szCs w:val="32"/>
          <w:lang w:val="en-US" w:eastAsia="zh-CN"/>
        </w:rPr>
        <w:t>严格落实常态化演练制度，定期开展突发环境事件演练。加强县、乡镇两级环境应急队伍建设，完善环境应急物资储备体系，强化应急物资规范管理。深化生态环境、公安、交通、应急管理、林草、自然资源等部门协作救援机制，强化应急队伍实战化培训，强化县乡（镇）两级、县内跨部门联动演练，全面提升突发环境事件应急处置能力。</w:t>
      </w:r>
    </w:p>
    <w:p w14:paraId="3304C564">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134" w:name="_Toc23856"/>
      <w:r>
        <w:rPr>
          <w:rFonts w:hint="eastAsia" w:ascii="方正小标宋简体" w:hAnsi="方正小标宋简体" w:eastAsia="方正小标宋简体" w:cs="方正小标宋简体"/>
          <w:sz w:val="32"/>
          <w:szCs w:val="32"/>
          <w:lang w:val="en-US" w:eastAsia="zh-CN"/>
        </w:rPr>
        <w:t xml:space="preserve"> </w:t>
      </w:r>
      <w:bookmarkStart w:id="135" w:name="_Toc25844"/>
      <w:r>
        <w:rPr>
          <w:rFonts w:hint="eastAsia" w:ascii="方正小标宋简体" w:hAnsi="方正小标宋简体" w:eastAsia="方正小标宋简体" w:cs="方正小标宋简体"/>
          <w:sz w:val="32"/>
          <w:szCs w:val="32"/>
          <w:lang w:val="en-US" w:eastAsia="zh-CN"/>
        </w:rPr>
        <w:t>健全生态环境治理体系</w:t>
      </w:r>
      <w:bookmarkEnd w:id="135"/>
    </w:p>
    <w:p w14:paraId="2528ABA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持续深化生态文明体制改革，健全生态环境治理责任体系、监管体系，推动生态环境治理制度化、规范化，不断提升生态环境治理体系和治理能力现代化水平，为建设美丽丁青提供强大动力和制度保障。</w:t>
      </w:r>
    </w:p>
    <w:p w14:paraId="0855D3A6">
      <w:pPr>
        <w:pStyle w:val="4"/>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36" w:name="_Toc1905"/>
      <w:bookmarkStart w:id="137" w:name="_Toc30942"/>
      <w:bookmarkStart w:id="138" w:name="_Toc12477"/>
      <w:r>
        <w:rPr>
          <w:rFonts w:hint="eastAsia" w:ascii="黑体" w:hAnsi="黑体" w:eastAsia="黑体" w:cs="黑体"/>
          <w:b w:val="0"/>
          <w:bCs w:val="0"/>
          <w:color w:val="auto"/>
          <w:sz w:val="32"/>
          <w:szCs w:val="32"/>
          <w:highlight w:val="none"/>
          <w:lang w:val="en-US" w:eastAsia="zh-CN" w:bidi="ar-SA"/>
        </w:rPr>
        <w:t>一、持续深化生态文明体制改革</w:t>
      </w:r>
      <w:bookmarkEnd w:id="136"/>
    </w:p>
    <w:p w14:paraId="1F7E8979">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39" w:name="_Toc10833"/>
      <w:r>
        <w:rPr>
          <w:rFonts w:hint="eastAsia" w:ascii="楷体" w:hAnsi="楷体" w:eastAsia="楷体" w:cs="楷体"/>
          <w:sz w:val="32"/>
          <w:szCs w:val="32"/>
          <w:lang w:val="en-US" w:eastAsia="zh-CN"/>
        </w:rPr>
        <w:t>（一）健全生态环境治理制度体系</w:t>
      </w:r>
      <w:bookmarkEnd w:id="139"/>
    </w:p>
    <w:p w14:paraId="56D2B1F3">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firstLine="616" w:firstLineChars="200"/>
        <w:jc w:val="left"/>
        <w:textAlignment w:val="auto"/>
        <w:outlineLvl w:val="9"/>
        <w:rPr>
          <w:rFonts w:hint="eastAsia" w:ascii="Times New Roman" w:hAnsi="Times New Roman" w:eastAsia="仿宋_GB2312" w:cs="仿宋_GB2312"/>
          <w:color w:val="auto"/>
          <w:spacing w:val="-6"/>
          <w:sz w:val="32"/>
          <w:szCs w:val="32"/>
          <w:lang w:val="en-US" w:eastAsia="zh-CN"/>
        </w:rPr>
      </w:pPr>
      <w:r>
        <w:rPr>
          <w:rFonts w:hint="eastAsia" w:ascii="Times New Roman" w:hAnsi="Times New Roman" w:eastAsia="仿宋_GB2312" w:cs="仿宋_GB2312"/>
          <w:spacing w:val="-6"/>
          <w:sz w:val="32"/>
          <w:szCs w:val="32"/>
          <w:lang w:val="en-US" w:eastAsia="zh-CN"/>
        </w:rPr>
        <w:t>加快落实以排污许可制为核心的固定污染源监管制度，按照市级统一部署，扩大排污许可要素覆盖范围。强化排污许可证后监管与执法检查，推动企业严格履行持证排污、按证排污法定义务。完善环境信息依法披露机制，压实企业环境信息公开责任。推动排污许可、环境信息披露、环保信用评价等制度深度融合、协同增效。持续完善“河湖长+警长+检察长+林长”四长联动协作机制，依法严厉打击河湖、林草领域违法犯罪行为。落实政府生态文明建设情况报告制度，按要求向县人大常委会汇报。</w:t>
      </w:r>
    </w:p>
    <w:p w14:paraId="58335DE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eastAsia" w:ascii="楷体" w:hAnsi="楷体" w:eastAsia="楷体" w:cs="楷体"/>
          <w:sz w:val="32"/>
          <w:szCs w:val="32"/>
          <w:lang w:val="en-US" w:eastAsia="zh-CN"/>
        </w:rPr>
      </w:pPr>
      <w:bookmarkStart w:id="140" w:name="_Toc31447"/>
      <w:r>
        <w:rPr>
          <w:rFonts w:hint="eastAsia" w:ascii="楷体" w:hAnsi="楷体" w:eastAsia="楷体" w:cs="楷体"/>
          <w:sz w:val="32"/>
          <w:szCs w:val="32"/>
          <w:lang w:val="en-US" w:eastAsia="zh-CN"/>
        </w:rPr>
        <w:t>（二）强化</w:t>
      </w:r>
      <w:r>
        <w:rPr>
          <w:rFonts w:hint="default" w:ascii="楷体" w:hAnsi="楷体" w:eastAsia="楷体" w:cs="楷体"/>
          <w:sz w:val="32"/>
          <w:szCs w:val="32"/>
          <w:lang w:val="en-US" w:eastAsia="zh-CN"/>
        </w:rPr>
        <w:t>生态文明建设法治保障</w:t>
      </w:r>
      <w:bookmarkEnd w:id="140"/>
    </w:p>
    <w:p w14:paraId="06C6DB5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加大生态环境法律法规宣传教育力度，重点围绕《中华人民共和国生态环境法典》《中华人民共和国青藏高原生态保护法》《西藏自治区国家生态文明高地建设条例》《西藏自治区冰川保护条例》《昌都市饮用水水源地保护条例》《昌都市河道采砂管理条例》等开展普法活动，为绿色低碳转型和生态环境保护提供法治支撑</w:t>
      </w:r>
      <w:r>
        <w:rPr>
          <w:rFonts w:hint="default" w:ascii="Times New Roman" w:hAnsi="Times New Roman" w:eastAsia="仿宋_GB2312" w:cs="仿宋_GB2312"/>
          <w:spacing w:val="-6"/>
          <w:sz w:val="32"/>
          <w:szCs w:val="32"/>
          <w:lang w:val="en-US" w:eastAsia="zh-CN"/>
        </w:rPr>
        <w:t>。深化生态环境损害赔偿制度改革，建立常态化线索筛查和多部门联合研判机制。健全</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一案双查</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工作</w:t>
      </w:r>
      <w:r>
        <w:rPr>
          <w:rFonts w:hint="eastAsia" w:ascii="Times New Roman" w:hAnsi="Times New Roman" w:eastAsia="仿宋_GB2312" w:cs="仿宋_GB2312"/>
          <w:spacing w:val="-6"/>
          <w:sz w:val="32"/>
          <w:szCs w:val="32"/>
          <w:lang w:val="en-US" w:eastAsia="zh-CN"/>
        </w:rPr>
        <w:t>机制</w:t>
      </w:r>
      <w:r>
        <w:rPr>
          <w:rFonts w:hint="default" w:ascii="Times New Roman" w:hAnsi="Times New Roman" w:eastAsia="仿宋_GB2312" w:cs="仿宋_GB2312"/>
          <w:spacing w:val="-6"/>
          <w:sz w:val="32"/>
          <w:szCs w:val="32"/>
          <w:lang w:val="en-US" w:eastAsia="zh-CN"/>
        </w:rPr>
        <w:t>，推动</w:t>
      </w:r>
      <w:r>
        <w:rPr>
          <w:rFonts w:hint="eastAsia" w:ascii="Times New Roman" w:hAnsi="Times New Roman" w:eastAsia="仿宋_GB2312" w:cs="仿宋_GB2312"/>
          <w:spacing w:val="-6"/>
          <w:sz w:val="32"/>
          <w:szCs w:val="32"/>
          <w:lang w:val="en-US" w:eastAsia="zh-CN"/>
        </w:rPr>
        <w:t>生态环境</w:t>
      </w:r>
      <w:r>
        <w:rPr>
          <w:rFonts w:hint="default" w:ascii="Times New Roman" w:hAnsi="Times New Roman" w:eastAsia="仿宋_GB2312" w:cs="仿宋_GB2312"/>
          <w:spacing w:val="-6"/>
          <w:sz w:val="32"/>
          <w:szCs w:val="32"/>
          <w:lang w:val="en-US" w:eastAsia="zh-CN"/>
        </w:rPr>
        <w:t>损害赔偿与行政执法</w:t>
      </w:r>
      <w:r>
        <w:rPr>
          <w:rFonts w:hint="eastAsia" w:ascii="Times New Roman" w:hAnsi="Times New Roman" w:eastAsia="仿宋_GB2312" w:cs="仿宋_GB2312"/>
          <w:spacing w:val="-6"/>
          <w:sz w:val="32"/>
          <w:szCs w:val="32"/>
          <w:lang w:val="en-US" w:eastAsia="zh-CN"/>
        </w:rPr>
        <w:t>有效衔接</w:t>
      </w:r>
      <w:r>
        <w:rPr>
          <w:rFonts w:hint="default" w:ascii="Times New Roman" w:hAnsi="Times New Roman" w:eastAsia="仿宋_GB2312" w:cs="仿宋_GB2312"/>
          <w:spacing w:val="-6"/>
          <w:sz w:val="32"/>
          <w:szCs w:val="32"/>
          <w:lang w:val="en-US" w:eastAsia="zh-CN"/>
        </w:rPr>
        <w:t>。加强生态环境领域司法协同，严格执行《昌都市市场监管行政执法与刑事司法衔接工作机制（试行）》《昌都市生态环境行政执法与刑事司法衔接工作办法实施细则》，推进行政执法与刑事司法高效衔接。</w:t>
      </w:r>
    </w:p>
    <w:p w14:paraId="136B5DB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41" w:name="_Toc5441"/>
      <w:r>
        <w:rPr>
          <w:rFonts w:hint="eastAsia" w:ascii="楷体" w:hAnsi="楷体" w:eastAsia="楷体" w:cs="楷体"/>
          <w:sz w:val="32"/>
          <w:szCs w:val="32"/>
          <w:lang w:val="en-US" w:eastAsia="zh-CN"/>
        </w:rPr>
        <w:t>（三）落实</w:t>
      </w:r>
      <w:r>
        <w:rPr>
          <w:rFonts w:hint="default" w:ascii="楷体" w:hAnsi="楷体" w:eastAsia="楷体" w:cs="楷体"/>
          <w:sz w:val="32"/>
          <w:szCs w:val="32"/>
          <w:lang w:val="en-US" w:eastAsia="zh-CN"/>
        </w:rPr>
        <w:t>生态环境保护督察</w:t>
      </w:r>
      <w:r>
        <w:rPr>
          <w:rFonts w:hint="eastAsia" w:ascii="楷体" w:hAnsi="楷体" w:eastAsia="楷体" w:cs="楷体"/>
          <w:sz w:val="32"/>
          <w:szCs w:val="32"/>
          <w:lang w:val="en-US" w:eastAsia="zh-CN"/>
        </w:rPr>
        <w:t>制度</w:t>
      </w:r>
      <w:bookmarkEnd w:id="141"/>
    </w:p>
    <w:p w14:paraId="2A7D0A4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default" w:ascii="Times New Roman" w:hAnsi="Times New Roman" w:eastAsia="仿宋_GB2312" w:cs="仿宋_GB2312"/>
          <w:spacing w:val="-6"/>
          <w:sz w:val="32"/>
          <w:szCs w:val="32"/>
          <w:lang w:val="en-US" w:eastAsia="zh-CN"/>
        </w:rPr>
      </w:pPr>
      <w:r>
        <w:rPr>
          <w:rFonts w:hint="default" w:ascii="Times New Roman" w:hAnsi="Times New Roman" w:eastAsia="仿宋_GB2312" w:cs="仿宋_GB2312"/>
          <w:spacing w:val="-6"/>
          <w:sz w:val="32"/>
          <w:szCs w:val="32"/>
          <w:lang w:val="en-US" w:eastAsia="zh-CN"/>
        </w:rPr>
        <w:t>坚决落实中央、自治区生态环境保护督察各项部署，建立督察问题整改全链条闭环管理机制。对上级督察反馈问题、移交线索及群众信访举报件，实行清单管理、挂图作战、限期督办、销号验收，确保责任、措施、时限、成效</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四到位</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。强化督察成果转化与源头治理，坚持</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当下改</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与</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长久立</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相结合，针对虫草采挖、历史遗留矿山、探矿活动等高频信访问题深挖制度短板、监管漏洞、治理弱项，建立虫草采挖季生态专项管控、矿山探矿遗留问题常态化排查、生态修复长效管护机制，彻底破解反复整改、反复投诉顽疾。持续推动督察整改与</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无废城市</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建设、建筑垃圾资源化利用、城乡生活污染治理、冰川雪山生态保护、高原草场生态修复等重点任务统筹衔接、一体落实，以督察整改倒逼生态治理提质、监管体系完善、治理能力升级。完善督察整改跟踪评估和考核问责制度，对整改不力、敷衍塞责、弄虚作假的，依规依纪依法严肃追责问责。</w:t>
      </w:r>
    </w:p>
    <w:p w14:paraId="17FC1643">
      <w:pPr>
        <w:pStyle w:val="4"/>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42" w:name="_Toc15299"/>
      <w:r>
        <w:rPr>
          <w:rFonts w:hint="eastAsia" w:ascii="黑体" w:hAnsi="黑体" w:eastAsia="黑体" w:cs="黑体"/>
          <w:b w:val="0"/>
          <w:bCs w:val="0"/>
          <w:color w:val="auto"/>
          <w:sz w:val="32"/>
          <w:szCs w:val="32"/>
          <w:highlight w:val="none"/>
          <w:lang w:val="en-US" w:eastAsia="zh-CN" w:bidi="ar-SA"/>
        </w:rPr>
        <w:t>二、健全生态环境治理责任体系</w:t>
      </w:r>
      <w:bookmarkEnd w:id="142"/>
    </w:p>
    <w:bookmarkEnd w:id="137"/>
    <w:bookmarkEnd w:id="138"/>
    <w:p w14:paraId="0022392C">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left"/>
        <w:textAlignment w:val="auto"/>
        <w:outlineLvl w:val="2"/>
        <w:rPr>
          <w:rFonts w:hint="default" w:ascii="楷体" w:hAnsi="楷体" w:eastAsia="楷体" w:cs="楷体"/>
          <w:sz w:val="32"/>
          <w:szCs w:val="32"/>
          <w:lang w:val="en-US" w:eastAsia="zh-CN"/>
        </w:rPr>
      </w:pPr>
      <w:bookmarkStart w:id="143" w:name="_Toc8064"/>
      <w:bookmarkStart w:id="144" w:name="_Toc27417"/>
      <w:bookmarkStart w:id="145" w:name="_Toc23022"/>
      <w:r>
        <w:rPr>
          <w:rFonts w:hint="eastAsia" w:ascii="楷体" w:hAnsi="楷体" w:eastAsia="楷体" w:cs="楷体"/>
          <w:sz w:val="32"/>
          <w:szCs w:val="32"/>
          <w:lang w:val="en-US" w:eastAsia="zh-CN"/>
        </w:rPr>
        <w:t>（一）</w:t>
      </w:r>
      <w:bookmarkEnd w:id="143"/>
      <w:bookmarkEnd w:id="144"/>
      <w:r>
        <w:rPr>
          <w:rFonts w:hint="default" w:ascii="楷体" w:hAnsi="楷体" w:eastAsia="楷体" w:cs="楷体"/>
          <w:sz w:val="32"/>
          <w:szCs w:val="32"/>
          <w:lang w:val="en-US" w:eastAsia="zh-CN"/>
        </w:rPr>
        <w:t>健全生态环境保护责任体系</w:t>
      </w:r>
      <w:bookmarkEnd w:id="145"/>
    </w:p>
    <w:p w14:paraId="143199E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严格落实“党政同责、一岗双责、终身追责”要求，定期修订《丁青县生态环境保护责任清单》，全面贯彻“管发展必须管环保、管行业必须管环保、管生产必须管环保”要求，健全职责明晰、分工合理的生态环境保护责任体系</w:t>
      </w:r>
      <w:r>
        <w:rPr>
          <w:rFonts w:hint="eastAsia" w:ascii="楷体" w:hAnsi="楷体" w:eastAsia="楷体" w:cs="楷体"/>
          <w:sz w:val="32"/>
          <w:szCs w:val="32"/>
          <w:lang w:val="en-US" w:eastAsia="zh-CN"/>
        </w:rPr>
        <w:t>。</w:t>
      </w:r>
      <w:r>
        <w:rPr>
          <w:rFonts w:hint="eastAsia" w:ascii="Times New Roman" w:hAnsi="Times New Roman" w:eastAsia="仿宋_GB2312" w:cs="仿宋_GB2312"/>
          <w:spacing w:val="-6"/>
          <w:sz w:val="32"/>
          <w:szCs w:val="32"/>
          <w:lang w:val="en-US" w:eastAsia="zh-CN"/>
        </w:rPr>
        <w:t>深入实施《领导干部自然资源资产离任审计规定（试行）》，组织开展领导干部自然资源资产离任（任中）审计工作，</w:t>
      </w:r>
      <w:r>
        <w:rPr>
          <w:rFonts w:hint="eastAsia" w:ascii="仿宋_GB2312" w:hAnsi="仿宋_GB2312" w:eastAsia="仿宋_GB2312" w:cs="仿宋_GB2312"/>
          <w:i w:val="0"/>
          <w:iCs w:val="0"/>
          <w:color w:val="auto"/>
          <w:sz w:val="32"/>
          <w:highlight w:val="none"/>
          <w:lang w:val="en-US" w:eastAsia="zh-CN"/>
        </w:rPr>
        <w:t>以刚性审计约束压实生态环保责任</w:t>
      </w:r>
      <w:r>
        <w:rPr>
          <w:rFonts w:hint="eastAsia" w:ascii="Times New Roman" w:hAnsi="Times New Roman" w:eastAsia="仿宋_GB2312" w:cs="仿宋_GB2312"/>
          <w:spacing w:val="-6"/>
          <w:sz w:val="32"/>
          <w:szCs w:val="32"/>
          <w:lang w:val="en-US" w:eastAsia="zh-CN"/>
        </w:rPr>
        <w:t>。落实《昌都市生态环境评估工作方案》，以生态环境评估倒逼各项环保职责落地落细、常态长效。按照国家生态文明建设示范区建设要求将生态文明建设工作考核结果作为党政领导干部综合考核评价、奖惩任免重要依据。</w:t>
      </w:r>
    </w:p>
    <w:p w14:paraId="42B4D06C">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left"/>
        <w:textAlignment w:val="auto"/>
        <w:outlineLvl w:val="2"/>
        <w:rPr>
          <w:rFonts w:hint="default" w:ascii="楷体" w:hAnsi="楷体" w:eastAsia="楷体" w:cs="楷体"/>
          <w:sz w:val="32"/>
          <w:szCs w:val="32"/>
          <w:lang w:val="en-US" w:eastAsia="zh-CN"/>
        </w:rPr>
      </w:pPr>
      <w:bookmarkStart w:id="146" w:name="_Toc12685"/>
      <w:r>
        <w:rPr>
          <w:rFonts w:hint="eastAsia" w:ascii="楷体" w:hAnsi="楷体" w:eastAsia="楷体" w:cs="楷体"/>
          <w:sz w:val="32"/>
          <w:szCs w:val="32"/>
          <w:lang w:val="en-US" w:eastAsia="zh-CN"/>
        </w:rPr>
        <w:t>（二）</w:t>
      </w:r>
      <w:r>
        <w:rPr>
          <w:rFonts w:hint="default" w:ascii="楷体" w:hAnsi="楷体" w:eastAsia="楷体" w:cs="楷体"/>
          <w:sz w:val="32"/>
          <w:szCs w:val="32"/>
          <w:lang w:val="en-US" w:eastAsia="zh-CN"/>
        </w:rPr>
        <w:t>健全</w:t>
      </w:r>
      <w:r>
        <w:rPr>
          <w:rFonts w:hint="eastAsia" w:ascii="楷体" w:hAnsi="楷体" w:eastAsia="楷体" w:cs="楷体"/>
          <w:sz w:val="32"/>
          <w:szCs w:val="32"/>
          <w:lang w:val="en-US" w:eastAsia="zh-CN"/>
        </w:rPr>
        <w:t>经营者主体责任</w:t>
      </w:r>
      <w:r>
        <w:rPr>
          <w:rFonts w:hint="default" w:ascii="楷体" w:hAnsi="楷体" w:eastAsia="楷体" w:cs="楷体"/>
          <w:sz w:val="32"/>
          <w:szCs w:val="32"/>
          <w:lang w:val="en-US" w:eastAsia="zh-CN"/>
        </w:rPr>
        <w:t>体系</w:t>
      </w:r>
      <w:bookmarkEnd w:id="146"/>
    </w:p>
    <w:p w14:paraId="5E51563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强化对企事业单位及各类生产经营主体的监管引导，督促其严格遵守生态环境保护法律法规，主动履行生态环境保护义务，健全内部管理制度，承担污染治理、生态修复及生态损害赔偿主体责任。严格落实生产者责任延伸制度，对造成环境污染和生态破坏的企业，依法依规严肃追究相关责任。常态化开展各类市场主体生态环境保护帮扶指导，加强生态环境保护普法宣传，提升诚信守法、依规经营责任意识。积极引导企业主动依法公开环境治理、污染物排放、隐患整改等环境信息，自觉接受政府监管和社会监督。</w:t>
      </w:r>
    </w:p>
    <w:p w14:paraId="24D67D9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47" w:name="_Toc7872"/>
      <w:r>
        <w:rPr>
          <w:rFonts w:hint="eastAsia" w:ascii="楷体" w:hAnsi="楷体" w:eastAsia="楷体" w:cs="楷体"/>
          <w:sz w:val="32"/>
          <w:szCs w:val="32"/>
          <w:lang w:val="en-US" w:eastAsia="zh-CN"/>
        </w:rPr>
        <w:t>（三）健全社会监督机制</w:t>
      </w:r>
      <w:bookmarkEnd w:id="147"/>
    </w:p>
    <w:p w14:paraId="703159E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default" w:ascii="楷体" w:hAnsi="楷体" w:eastAsia="楷体" w:cs="楷体"/>
          <w:sz w:val="32"/>
          <w:szCs w:val="32"/>
          <w:lang w:val="en-US" w:eastAsia="zh-CN"/>
        </w:rPr>
      </w:pPr>
      <w:r>
        <w:rPr>
          <w:rFonts w:hint="default" w:ascii="Times New Roman" w:hAnsi="Times New Roman" w:eastAsia="仿宋_GB2312" w:cs="仿宋_GB2312"/>
          <w:spacing w:val="-6"/>
          <w:sz w:val="32"/>
          <w:szCs w:val="32"/>
          <w:lang w:val="en-US" w:eastAsia="zh-CN"/>
        </w:rPr>
        <w:t>完善生态环境信息公开机制，依法公开环境质量、污染源监管、行政处罚等信息，保障公众知情权。</w:t>
      </w:r>
      <w:r>
        <w:rPr>
          <w:rFonts w:hint="eastAsia" w:ascii="Times New Roman" w:hAnsi="Times New Roman" w:eastAsia="仿宋_GB2312" w:cs="仿宋_GB2312"/>
          <w:spacing w:val="-6"/>
          <w:sz w:val="32"/>
          <w:szCs w:val="32"/>
          <w:lang w:val="en-US" w:eastAsia="zh-CN"/>
        </w:rPr>
        <w:t>深化环保设施向公众开放。</w:t>
      </w:r>
      <w:r>
        <w:rPr>
          <w:rFonts w:hint="default" w:ascii="Times New Roman" w:hAnsi="Times New Roman" w:eastAsia="仿宋_GB2312" w:cs="仿宋_GB2312"/>
          <w:spacing w:val="-6"/>
          <w:sz w:val="32"/>
          <w:szCs w:val="32"/>
          <w:lang w:val="en-US" w:eastAsia="zh-CN"/>
        </w:rPr>
        <w:t>依托</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环保联系卡</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政务服务热线、网络举报平台等载体，鼓励公众对生态环境违法行为进行监督举报，落实生态环境违法行为举报奖励制度，激发群众参与监督的积极性。培育壮大本土生态环保志愿力量，广泛动员群众、社会组织参与冰川</w:t>
      </w:r>
      <w:r>
        <w:rPr>
          <w:rFonts w:hint="eastAsia" w:ascii="Times New Roman" w:hAnsi="Times New Roman" w:eastAsia="仿宋_GB2312" w:cs="仿宋_GB2312"/>
          <w:spacing w:val="-6"/>
          <w:sz w:val="32"/>
          <w:szCs w:val="32"/>
          <w:lang w:val="en-US" w:eastAsia="zh-CN"/>
        </w:rPr>
        <w:t>雪山</w:t>
      </w:r>
      <w:r>
        <w:rPr>
          <w:rFonts w:hint="default" w:ascii="Times New Roman" w:hAnsi="Times New Roman" w:eastAsia="仿宋_GB2312" w:cs="仿宋_GB2312"/>
          <w:spacing w:val="-6"/>
          <w:sz w:val="32"/>
          <w:szCs w:val="32"/>
          <w:lang w:val="en-US" w:eastAsia="zh-CN"/>
        </w:rPr>
        <w:t>守护、河湖保洁、生态宣讲、环境整治等公益服务，引导群众以实际行动践行环保责任。积极引导相关公益组织开展生态环境损害赔偿、生态环境公益诉讼等活动。</w:t>
      </w:r>
    </w:p>
    <w:p w14:paraId="2C3A428C">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48" w:name="_Toc24058"/>
      <w:bookmarkStart w:id="149" w:name="_Toc7077"/>
      <w:bookmarkStart w:id="150" w:name="_Toc2662"/>
      <w:r>
        <w:rPr>
          <w:rFonts w:hint="eastAsia" w:ascii="黑体" w:hAnsi="黑体" w:eastAsia="黑体" w:cs="黑体"/>
          <w:b w:val="0"/>
          <w:bCs w:val="0"/>
          <w:color w:val="auto"/>
          <w:sz w:val="32"/>
          <w:szCs w:val="32"/>
          <w:highlight w:val="none"/>
          <w:lang w:val="en-US" w:eastAsia="zh-CN" w:bidi="ar-SA"/>
        </w:rPr>
        <w:t>三、持续提升生态环境监管效能</w:t>
      </w:r>
      <w:bookmarkEnd w:id="148"/>
      <w:bookmarkEnd w:id="149"/>
      <w:bookmarkEnd w:id="150"/>
    </w:p>
    <w:p w14:paraId="555A5CAB">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51" w:name="_Toc13674"/>
      <w:r>
        <w:rPr>
          <w:rFonts w:hint="eastAsia" w:ascii="楷体" w:hAnsi="楷体" w:eastAsia="楷体" w:cs="楷体"/>
          <w:sz w:val="32"/>
          <w:szCs w:val="32"/>
          <w:lang w:val="en-US" w:eastAsia="zh-CN"/>
        </w:rPr>
        <w:t>（一）持续完善生态环境监测网络</w:t>
      </w:r>
      <w:bookmarkEnd w:id="151"/>
    </w:p>
    <w:p w14:paraId="57CC15B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配合市级部门完善“天空地”一体化生态监测网络，开展大气、水、土壤、噪声等环境质量监测和重点企业监督性监测，建立完善冰川、自然保护地、生物多样性等重点生态功能区监测点位，持续提升生态环境监测支撑能力。强化环境空气质量自动监测站运维保障，推进</w:t>
      </w:r>
      <w:r>
        <w:rPr>
          <w:rFonts w:hint="eastAsia" w:ascii="Times New Roman" w:hAnsi="Times New Roman" w:eastAsia="仿宋_GB2312" w:cs="仿宋_GB2312"/>
          <w:color w:val="auto"/>
          <w:spacing w:val="-6"/>
          <w:sz w:val="32"/>
          <w:szCs w:val="32"/>
          <w:lang w:val="en-US" w:eastAsia="zh-CN"/>
        </w:rPr>
        <w:t>声环境功能区自动监测站建设，</w:t>
      </w:r>
      <w:r>
        <w:rPr>
          <w:rFonts w:hint="eastAsia" w:ascii="Times New Roman" w:hAnsi="Times New Roman" w:eastAsia="仿宋_GB2312" w:cs="仿宋_GB2312"/>
          <w:spacing w:val="-6"/>
          <w:sz w:val="32"/>
          <w:szCs w:val="32"/>
          <w:lang w:val="en-US" w:eastAsia="zh-CN"/>
        </w:rPr>
        <w:t>督促丁青县津鹏祥供水供热有限责任公司、丁青县污水处理厂等重点排污企业加强在线监测设备运行维护，推动丁青县污水处理厂在线监测系统升级改造。</w:t>
      </w:r>
    </w:p>
    <w:p w14:paraId="1ED6917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52" w:name="_Toc23792"/>
      <w:r>
        <w:rPr>
          <w:rFonts w:hint="eastAsia" w:ascii="楷体" w:hAnsi="楷体" w:eastAsia="楷体" w:cs="楷体"/>
          <w:sz w:val="32"/>
          <w:szCs w:val="32"/>
          <w:lang w:val="en-US" w:eastAsia="zh-CN"/>
        </w:rPr>
        <w:t>（二）推动生态环境治理数智化转型</w:t>
      </w:r>
      <w:bookmarkEnd w:id="152"/>
    </w:p>
    <w:p w14:paraId="77A7AAA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6" w:firstLineChars="200"/>
        <w:textAlignment w:val="auto"/>
        <w:rPr>
          <w:rFonts w:hint="default"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依托昌都市“智慧生态”统一监管平台，推动辖区内生态环境监测、监管数据“应汇尽汇、应纳尽纳”。持续运用好“智慧生态”“智慧林长”“智慧河长”等市级平台和应用，积极配合市级部门推动建筑垃圾管理平台建设，实现部门生态环境数据共享和业务协同。推动生态环境监管由传统人工巡查向动态感知、精准管控的数智化模式迭代升级，依托卫星遥感、无人机巡查、在线监控等科技手段，加强布托湖国家湿地公园、碑加冰川等生态敏感区域、重点保护区域动态监控，精准排查整治垃圾乱堆乱倒、河道非法采砂、违规扰动冰川生态、破坏湿地植被等突出问题，实现问题早发现、早预警、早处置。</w:t>
      </w:r>
    </w:p>
    <w:p w14:paraId="3A1BE8E6">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Chars="0" w:firstLine="640" w:firstLineChars="200"/>
        <w:jc w:val="left"/>
        <w:textAlignment w:val="auto"/>
        <w:outlineLvl w:val="2"/>
        <w:rPr>
          <w:rFonts w:hint="default" w:ascii="楷体" w:hAnsi="楷体" w:eastAsia="楷体" w:cs="楷体"/>
          <w:sz w:val="32"/>
          <w:szCs w:val="32"/>
          <w:lang w:val="en-US" w:eastAsia="zh-CN"/>
        </w:rPr>
      </w:pPr>
      <w:bookmarkStart w:id="153" w:name="_Toc21838"/>
      <w:r>
        <w:rPr>
          <w:rFonts w:hint="eastAsia" w:ascii="楷体" w:hAnsi="楷体" w:eastAsia="楷体" w:cs="楷体"/>
          <w:sz w:val="32"/>
          <w:szCs w:val="32"/>
          <w:lang w:val="en-US" w:eastAsia="zh-CN"/>
        </w:rPr>
        <w:t>（三）持续提升生态环境执法效能</w:t>
      </w:r>
      <w:bookmarkEnd w:id="153"/>
    </w:p>
    <w:p w14:paraId="4C9FD31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9" w:firstLineChars="200"/>
        <w:textAlignment w:val="auto"/>
        <w:rPr>
          <w:rFonts w:hint="eastAsia" w:eastAsia="宋体"/>
          <w:lang w:eastAsia="zh-CN"/>
        </w:rPr>
      </w:pPr>
      <w:r>
        <w:rPr>
          <w:rFonts w:hint="eastAsia" w:ascii="Times New Roman" w:hAnsi="Times New Roman" w:eastAsia="仿宋_GB2312" w:cs="仿宋_GB2312"/>
          <w:b/>
          <w:bCs/>
          <w:spacing w:val="-6"/>
          <w:sz w:val="32"/>
          <w:szCs w:val="32"/>
          <w:lang w:val="en-US" w:eastAsia="zh-CN"/>
        </w:rPr>
        <w:t>强化生态环境执法队伍建设。</w:t>
      </w:r>
      <w:r>
        <w:rPr>
          <w:rFonts w:hint="eastAsia" w:ascii="Times New Roman" w:hAnsi="Times New Roman" w:eastAsia="仿宋_GB2312" w:cs="仿宋_GB2312"/>
          <w:spacing w:val="-6"/>
          <w:sz w:val="32"/>
          <w:szCs w:val="32"/>
          <w:lang w:val="en-US" w:eastAsia="zh-CN"/>
        </w:rPr>
        <w:t>持续加强监管执法能力建设，积极参与执法实战大练兵，聚焦案件查办、案卷质量、执法规范、队伍建设等重点领域，全面提升执法人员综合能力与职业素养。严格执行生态环境保护“双随机、一公开”监管机制，结合县域行业特点优化抽查清单、监管频次，推行精准监管、靶向执法，依法公开监管执法信息，持续规范生态环境行政执法行为。</w:t>
      </w:r>
    </w:p>
    <w:p w14:paraId="64E12C6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19"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b/>
          <w:bCs/>
          <w:spacing w:val="-6"/>
          <w:sz w:val="32"/>
          <w:szCs w:val="32"/>
          <w:highlight w:val="none"/>
          <w:lang w:val="en-US" w:eastAsia="zh-CN"/>
        </w:rPr>
        <w:t>健全生态环境联合执法机制。</w:t>
      </w:r>
      <w:r>
        <w:rPr>
          <w:rFonts w:hint="eastAsia" w:ascii="Times New Roman" w:hAnsi="Times New Roman" w:eastAsia="仿宋_GB2312" w:cs="仿宋_GB2312"/>
          <w:spacing w:val="-6"/>
          <w:sz w:val="32"/>
          <w:szCs w:val="32"/>
          <w:lang w:val="en-US" w:eastAsia="zh-CN"/>
        </w:rPr>
        <w:t>完善生态环境、林草、自然资源、水利、住建、交通、城管、公安等多部门联合执法、线索移送、联合惩戒工作机制，聚焦重点生态功能区建设项目、资源开发利用、冰川生态保护、城乡生活污水垃圾治理、建筑垃圾规范处置等重点领域，常态化开展联合执法、交叉检查。深化市县两级生态环境监管联动协作，整合执法力量、共享问题线索、协同查办案件，压紧压实属地管理和行业监管双重责任。建立健全与毗邻县区跨区域生态联防共治机制，强化跨界区域联合巡查、协同执法、信息互通、应急联动，统筹推进区域污染共治、生态共建、风险共防。</w:t>
      </w:r>
    </w:p>
    <w:p w14:paraId="0F10A70E">
      <w:pPr>
        <w:keepNext w:val="0"/>
        <w:keepLines w:val="0"/>
        <w:pageBreakBefore w:val="0"/>
        <w:widowControl w:val="0"/>
        <w:numPr>
          <w:ilvl w:val="0"/>
          <w:numId w:val="2"/>
        </w:numPr>
        <w:kinsoku/>
        <w:wordWrap/>
        <w:overflowPunct/>
        <w:topLinePunct w:val="0"/>
        <w:autoSpaceDE/>
        <w:autoSpaceDN/>
        <w:bidi w:val="0"/>
        <w:adjustRightInd w:val="0"/>
        <w:snapToGrid w:val="0"/>
        <w:spacing w:line="640" w:lineRule="exact"/>
        <w:ind w:left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154" w:name="_Toc8328"/>
      <w:r>
        <w:rPr>
          <w:rFonts w:hint="eastAsia" w:ascii="方正小标宋简体" w:hAnsi="方正小标宋简体" w:eastAsia="方正小标宋简体" w:cs="方正小标宋简体"/>
          <w:sz w:val="32"/>
          <w:szCs w:val="32"/>
          <w:lang w:val="en-US" w:eastAsia="zh-CN"/>
        </w:rPr>
        <w:t xml:space="preserve"> </w:t>
      </w:r>
      <w:bookmarkStart w:id="155" w:name="_Toc30479"/>
      <w:r>
        <w:rPr>
          <w:rFonts w:hint="eastAsia" w:ascii="方正小标宋简体" w:hAnsi="方正小标宋简体" w:eastAsia="方正小标宋简体" w:cs="方正小标宋简体"/>
          <w:sz w:val="32"/>
          <w:szCs w:val="32"/>
          <w:lang w:val="en-US" w:eastAsia="zh-CN"/>
        </w:rPr>
        <w:t>保障措施</w:t>
      </w:r>
      <w:bookmarkEnd w:id="154"/>
      <w:bookmarkEnd w:id="155"/>
    </w:p>
    <w:p w14:paraId="761DDFB9">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56" w:name="_Toc28148"/>
      <w:bookmarkStart w:id="157" w:name="_Toc8661"/>
      <w:bookmarkStart w:id="158" w:name="_Toc10800"/>
      <w:r>
        <w:rPr>
          <w:rFonts w:hint="eastAsia" w:ascii="黑体" w:hAnsi="黑体" w:eastAsia="黑体" w:cs="黑体"/>
          <w:b w:val="0"/>
          <w:bCs w:val="0"/>
          <w:color w:val="auto"/>
          <w:sz w:val="32"/>
          <w:szCs w:val="32"/>
          <w:highlight w:val="none"/>
          <w:lang w:val="en-US" w:eastAsia="zh-CN" w:bidi="ar-SA"/>
        </w:rPr>
        <w:t>一、加强组织</w:t>
      </w:r>
      <w:bookmarkEnd w:id="156"/>
      <w:bookmarkEnd w:id="157"/>
      <w:r>
        <w:rPr>
          <w:rFonts w:hint="eastAsia" w:ascii="黑体" w:hAnsi="黑体" w:eastAsia="黑体" w:cs="黑体"/>
          <w:b w:val="0"/>
          <w:bCs w:val="0"/>
          <w:color w:val="auto"/>
          <w:sz w:val="32"/>
          <w:szCs w:val="32"/>
          <w:highlight w:val="none"/>
          <w:lang w:val="en-US" w:eastAsia="zh-CN" w:bidi="ar-SA"/>
        </w:rPr>
        <w:t>领导</w:t>
      </w:r>
      <w:bookmarkEnd w:id="158"/>
    </w:p>
    <w:p w14:paraId="5AB9C4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default" w:ascii="Times New Roman" w:hAnsi="Times New Roman" w:eastAsia="仿宋_GB2312" w:cs="仿宋_GB2312"/>
          <w:spacing w:val="-6"/>
          <w:sz w:val="32"/>
          <w:szCs w:val="32"/>
          <w:lang w:val="en-US" w:eastAsia="zh-CN"/>
        </w:rPr>
        <w:t>坚持和加强党对美丽丁青建设工作的全面领导，充分发挥县级生态环境保护领导小组统筹抓总、协调推进作用，牢固树立全县生态建设</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一盘棋</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思想，系统统筹</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十五五</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时期生态保护</w:t>
      </w:r>
      <w:r>
        <w:rPr>
          <w:rFonts w:hint="eastAsia" w:ascii="仿宋_GB2312" w:hAnsi="仿宋_GB2312" w:eastAsia="仿宋_GB2312" w:cs="仿宋_GB2312"/>
          <w:spacing w:val="-6"/>
          <w:sz w:val="32"/>
          <w:szCs w:val="32"/>
          <w:lang w:val="en-US" w:eastAsia="zh-CN"/>
        </w:rPr>
        <w:t>重点任务、重大举措、重大工程</w:t>
      </w:r>
      <w:r>
        <w:rPr>
          <w:rFonts w:hint="default" w:ascii="Times New Roman" w:hAnsi="Times New Roman" w:eastAsia="仿宋_GB2312" w:cs="仿宋_GB2312"/>
          <w:spacing w:val="-6"/>
          <w:sz w:val="32"/>
          <w:szCs w:val="32"/>
          <w:lang w:val="en-US" w:eastAsia="zh-CN"/>
        </w:rPr>
        <w:t>落地推进。</w:t>
      </w:r>
      <w:r>
        <w:rPr>
          <w:rFonts w:hint="eastAsia" w:ascii="仿宋_GB2312" w:hAnsi="仿宋_GB2312" w:eastAsia="仿宋_GB2312" w:cs="仿宋_GB2312"/>
          <w:spacing w:val="-6"/>
          <w:sz w:val="32"/>
          <w:szCs w:val="32"/>
          <w:lang w:val="en-US" w:eastAsia="zh-CN"/>
        </w:rPr>
        <w:t>各</w:t>
      </w:r>
      <w:r>
        <w:rPr>
          <w:rFonts w:hint="eastAsia" w:ascii="Times New Roman" w:hAnsi="Times New Roman" w:eastAsia="仿宋_GB2312" w:cs="仿宋_GB2312"/>
          <w:spacing w:val="-6"/>
          <w:sz w:val="32"/>
          <w:szCs w:val="32"/>
          <w:lang w:val="en-US" w:eastAsia="zh-CN"/>
        </w:rPr>
        <w:t>部门、各乡镇严格履行生态环境保护“党政同责、一岗双责”要求，</w:t>
      </w:r>
      <w:r>
        <w:rPr>
          <w:rFonts w:hint="default" w:ascii="Times New Roman" w:hAnsi="Times New Roman" w:eastAsia="仿宋_GB2312" w:cs="仿宋_GB2312"/>
          <w:spacing w:val="-6"/>
          <w:sz w:val="32"/>
          <w:szCs w:val="32"/>
          <w:lang w:val="en-US" w:eastAsia="zh-CN"/>
        </w:rPr>
        <w:t>自觉担负起本部门、本辖区、本行业、本单位的生态环境保护工作责任，合理配置公共资源，引</w:t>
      </w:r>
      <w:r>
        <w:rPr>
          <w:rFonts w:hint="eastAsia" w:ascii="Times New Roman" w:hAnsi="Times New Roman" w:eastAsia="仿宋_GB2312" w:cs="仿宋_GB2312"/>
          <w:spacing w:val="-6"/>
          <w:sz w:val="32"/>
          <w:szCs w:val="32"/>
          <w:lang w:val="en-US" w:eastAsia="zh-CN"/>
        </w:rPr>
        <w:t>导和</w:t>
      </w:r>
      <w:r>
        <w:rPr>
          <w:rFonts w:hint="default" w:ascii="Times New Roman" w:hAnsi="Times New Roman" w:eastAsia="仿宋_GB2312" w:cs="仿宋_GB2312"/>
          <w:spacing w:val="-6"/>
          <w:sz w:val="32"/>
          <w:szCs w:val="32"/>
          <w:lang w:val="en-US" w:eastAsia="zh-CN"/>
        </w:rPr>
        <w:t>调控社会资源，各司其职密切配合</w:t>
      </w:r>
      <w:r>
        <w:rPr>
          <w:rFonts w:hint="eastAsia" w:ascii="Times New Roman" w:hAnsi="Times New Roman" w:eastAsia="仿宋_GB2312" w:cs="仿宋_GB2312"/>
          <w:spacing w:val="-6"/>
          <w:sz w:val="32"/>
          <w:szCs w:val="32"/>
          <w:lang w:val="en-US" w:eastAsia="zh-CN"/>
        </w:rPr>
        <w:t>，</w:t>
      </w:r>
      <w:r>
        <w:rPr>
          <w:rFonts w:hint="eastAsia" w:ascii="Times New Roman" w:hAnsi="Times New Roman" w:eastAsia="仿宋_GB2312" w:cs="仿宋_GB2312"/>
          <w:spacing w:val="-6"/>
          <w:sz w:val="32"/>
          <w:szCs w:val="32"/>
          <w:lang w:val="en" w:eastAsia="zh-CN"/>
        </w:rPr>
        <w:t>确保“十五五”美丽</w:t>
      </w:r>
      <w:r>
        <w:rPr>
          <w:rFonts w:hint="eastAsia" w:ascii="Times New Roman" w:hAnsi="Times New Roman" w:eastAsia="仿宋_GB2312" w:cs="仿宋_GB2312"/>
          <w:spacing w:val="-6"/>
          <w:sz w:val="32"/>
          <w:szCs w:val="32"/>
          <w:lang w:val="en-US" w:eastAsia="zh-CN"/>
        </w:rPr>
        <w:t>丁青</w:t>
      </w:r>
      <w:r>
        <w:rPr>
          <w:rFonts w:hint="eastAsia" w:ascii="Times New Roman" w:hAnsi="Times New Roman" w:eastAsia="仿宋_GB2312" w:cs="仿宋_GB2312"/>
          <w:spacing w:val="-6"/>
          <w:sz w:val="32"/>
          <w:szCs w:val="32"/>
          <w:lang w:val="en" w:eastAsia="zh-CN"/>
        </w:rPr>
        <w:t>建设</w:t>
      </w:r>
      <w:r>
        <w:rPr>
          <w:rFonts w:hint="eastAsia" w:ascii="Times New Roman" w:hAnsi="Times New Roman" w:eastAsia="仿宋_GB2312" w:cs="仿宋_GB2312"/>
          <w:spacing w:val="-6"/>
          <w:sz w:val="32"/>
          <w:szCs w:val="32"/>
          <w:lang w:val="en-US" w:eastAsia="zh-CN"/>
        </w:rPr>
        <w:t>各项目标任务如期完成</w:t>
      </w:r>
      <w:r>
        <w:rPr>
          <w:rFonts w:hint="eastAsia" w:ascii="Times New Roman" w:hAnsi="Times New Roman" w:eastAsia="仿宋_GB2312" w:cs="仿宋_GB2312"/>
          <w:spacing w:val="-6"/>
          <w:sz w:val="32"/>
          <w:szCs w:val="32"/>
          <w:lang w:val="en" w:eastAsia="zh-CN"/>
        </w:rPr>
        <w:t>。</w:t>
      </w:r>
    </w:p>
    <w:p w14:paraId="1AA59D65">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黑体" w:hAnsi="黑体" w:eastAsia="黑体" w:cs="黑体"/>
          <w:b w:val="0"/>
          <w:bCs w:val="0"/>
          <w:color w:val="auto"/>
          <w:sz w:val="32"/>
          <w:szCs w:val="32"/>
          <w:highlight w:val="none"/>
          <w:lang w:val="en-US" w:eastAsia="zh-CN" w:bidi="ar-SA"/>
        </w:rPr>
      </w:pPr>
      <w:bookmarkStart w:id="159" w:name="_Toc31870"/>
      <w:bookmarkStart w:id="160" w:name="_Toc11276"/>
      <w:bookmarkStart w:id="161" w:name="_Toc23762"/>
      <w:r>
        <w:rPr>
          <w:rFonts w:hint="eastAsia" w:ascii="黑体" w:hAnsi="黑体" w:eastAsia="黑体" w:cs="黑体"/>
          <w:b w:val="0"/>
          <w:bCs w:val="0"/>
          <w:color w:val="auto"/>
          <w:sz w:val="32"/>
          <w:szCs w:val="32"/>
          <w:highlight w:val="none"/>
          <w:lang w:val="en-US" w:eastAsia="zh-CN" w:bidi="ar-SA"/>
        </w:rPr>
        <w:t>二、</w:t>
      </w:r>
      <w:bookmarkEnd w:id="159"/>
      <w:bookmarkEnd w:id="160"/>
      <w:r>
        <w:rPr>
          <w:rFonts w:hint="eastAsia" w:ascii="黑体" w:hAnsi="黑体" w:eastAsia="黑体" w:cs="黑体"/>
          <w:b w:val="0"/>
          <w:bCs w:val="0"/>
          <w:color w:val="auto"/>
          <w:sz w:val="32"/>
          <w:szCs w:val="32"/>
          <w:highlight w:val="none"/>
          <w:lang w:val="en-US" w:eastAsia="zh-CN" w:bidi="ar-SA"/>
        </w:rPr>
        <w:t>夯实资金保障</w:t>
      </w:r>
      <w:bookmarkEnd w:id="161"/>
    </w:p>
    <w:p w14:paraId="245EA7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lang w:val="en" w:eastAsia="zh-CN"/>
        </w:rPr>
      </w:pPr>
      <w:r>
        <w:rPr>
          <w:rFonts w:hint="eastAsia" w:ascii="Times New Roman" w:hAnsi="Times New Roman" w:eastAsia="仿宋_GB2312" w:cs="仿宋_GB2312"/>
          <w:spacing w:val="-6"/>
          <w:sz w:val="32"/>
          <w:szCs w:val="32"/>
          <w:lang w:val="en" w:eastAsia="zh-CN"/>
        </w:rPr>
        <w:t>建立常态化、稳定的财政资金投入机制，将生态环境治理、</w:t>
      </w:r>
      <w:r>
        <w:rPr>
          <w:rFonts w:hint="eastAsia" w:ascii="Times New Roman" w:hAnsi="Times New Roman" w:eastAsia="仿宋_GB2312" w:cs="仿宋_GB2312"/>
          <w:spacing w:val="-6"/>
          <w:sz w:val="32"/>
          <w:szCs w:val="32"/>
          <w:lang w:val="en-US" w:eastAsia="zh-CN"/>
        </w:rPr>
        <w:t>生态保护修复等</w:t>
      </w:r>
      <w:r>
        <w:rPr>
          <w:rFonts w:hint="eastAsia" w:ascii="Times New Roman" w:hAnsi="Times New Roman" w:eastAsia="仿宋_GB2312" w:cs="仿宋_GB2312"/>
          <w:spacing w:val="-6"/>
          <w:sz w:val="32"/>
          <w:szCs w:val="32"/>
          <w:lang w:val="en" w:eastAsia="zh-CN"/>
        </w:rPr>
        <w:t>支出纳入县级财政预算重点保障，夯实美丽丁青建设资金基础。积极争取中央、</w:t>
      </w:r>
      <w:r>
        <w:rPr>
          <w:rFonts w:hint="eastAsia" w:ascii="Times New Roman" w:hAnsi="Times New Roman" w:eastAsia="仿宋_GB2312" w:cs="仿宋_GB2312"/>
          <w:spacing w:val="-6"/>
          <w:sz w:val="32"/>
          <w:szCs w:val="32"/>
          <w:lang w:val="en-US" w:eastAsia="zh-CN"/>
        </w:rPr>
        <w:t>自治区及昌都市</w:t>
      </w:r>
      <w:r>
        <w:rPr>
          <w:rFonts w:hint="eastAsia" w:ascii="Times New Roman" w:hAnsi="Times New Roman" w:eastAsia="仿宋_GB2312" w:cs="仿宋_GB2312"/>
          <w:spacing w:val="0"/>
          <w:sz w:val="32"/>
          <w:szCs w:val="32"/>
          <w:lang w:val="en" w:eastAsia="zh-CN"/>
        </w:rPr>
        <w:t>绿色产业发展、</w:t>
      </w:r>
      <w:r>
        <w:rPr>
          <w:rFonts w:hint="eastAsia" w:ascii="Times New Roman" w:hAnsi="Times New Roman" w:eastAsia="仿宋_GB2312" w:cs="仿宋_GB2312"/>
          <w:spacing w:val="0"/>
          <w:sz w:val="32"/>
          <w:szCs w:val="32"/>
          <w:lang w:val="en-US" w:eastAsia="zh-CN"/>
        </w:rPr>
        <w:t>生态修复与治理、生态环境污染防治、</w:t>
      </w:r>
      <w:r>
        <w:rPr>
          <w:rFonts w:hint="eastAsia" w:ascii="Times New Roman" w:hAnsi="Times New Roman" w:eastAsia="仿宋_GB2312" w:cs="仿宋_GB2312"/>
          <w:spacing w:val="0"/>
          <w:sz w:val="32"/>
          <w:szCs w:val="32"/>
          <w:lang w:val="en" w:eastAsia="zh-CN"/>
        </w:rPr>
        <w:t>农村环境整治、</w:t>
      </w:r>
      <w:r>
        <w:rPr>
          <w:rFonts w:hint="eastAsia" w:ascii="Times New Roman" w:hAnsi="Times New Roman" w:eastAsia="仿宋_GB2312" w:cs="仿宋_GB2312"/>
          <w:spacing w:val="0"/>
          <w:sz w:val="32"/>
          <w:szCs w:val="32"/>
          <w:lang w:val="en-US" w:eastAsia="zh-CN"/>
        </w:rPr>
        <w:t>生态环境能力建设</w:t>
      </w:r>
      <w:r>
        <w:rPr>
          <w:rFonts w:hint="eastAsia" w:ascii="Times New Roman" w:hAnsi="Times New Roman" w:eastAsia="仿宋_GB2312" w:cs="仿宋_GB2312"/>
          <w:spacing w:val="0"/>
          <w:sz w:val="32"/>
          <w:szCs w:val="32"/>
          <w:lang w:val="en" w:eastAsia="zh-CN"/>
        </w:rPr>
        <w:t>等资金支持。</w:t>
      </w:r>
      <w:r>
        <w:rPr>
          <w:rFonts w:hint="eastAsia" w:ascii="Times New Roman" w:hAnsi="Times New Roman" w:eastAsia="仿宋_GB2312" w:cs="仿宋_GB2312"/>
          <w:spacing w:val="-6"/>
          <w:sz w:val="32"/>
          <w:szCs w:val="32"/>
          <w:lang w:val="en" w:eastAsia="zh-CN"/>
        </w:rPr>
        <w:t>创新投融资模式，鼓励符合条件的项目通过绿色债券、资产证券化等方式拓宽融资渠道，保障重大治理工程的顺利实施。</w:t>
      </w:r>
    </w:p>
    <w:p w14:paraId="111B08E7">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default" w:ascii="Times New Roman" w:hAnsi="Times New Roman" w:eastAsia="仿宋_GB2312" w:cs="仿宋_GB2312"/>
          <w:spacing w:val="-6"/>
          <w:sz w:val="32"/>
          <w:szCs w:val="32"/>
          <w:lang w:val="en-US" w:eastAsia="zh-CN"/>
        </w:rPr>
      </w:pPr>
      <w:bookmarkStart w:id="162" w:name="_Toc1329"/>
      <w:bookmarkStart w:id="163" w:name="_Toc2618"/>
      <w:bookmarkStart w:id="164" w:name="_Toc24908"/>
      <w:r>
        <w:rPr>
          <w:rFonts w:hint="eastAsia" w:ascii="黑体" w:hAnsi="黑体" w:eastAsia="黑体" w:cs="黑体"/>
          <w:b w:val="0"/>
          <w:bCs w:val="0"/>
          <w:color w:val="auto"/>
          <w:sz w:val="32"/>
          <w:szCs w:val="32"/>
          <w:highlight w:val="none"/>
          <w:lang w:val="en-US" w:eastAsia="zh-CN" w:bidi="ar-SA"/>
        </w:rPr>
        <w:t>三、</w:t>
      </w:r>
      <w:bookmarkEnd w:id="162"/>
      <w:bookmarkEnd w:id="163"/>
      <w:r>
        <w:rPr>
          <w:rFonts w:hint="eastAsia" w:ascii="黑体" w:hAnsi="黑体" w:eastAsia="黑体" w:cs="黑体"/>
          <w:b w:val="0"/>
          <w:bCs w:val="0"/>
          <w:color w:val="auto"/>
          <w:sz w:val="32"/>
          <w:szCs w:val="32"/>
          <w:highlight w:val="none"/>
          <w:lang w:val="en-US" w:eastAsia="zh-CN" w:bidi="ar-SA"/>
        </w:rPr>
        <w:t>开展监测评估</w:t>
      </w:r>
      <w:bookmarkEnd w:id="164"/>
    </w:p>
    <w:p w14:paraId="0161D4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lang w:val="en-US" w:eastAsia="zh-CN"/>
        </w:rPr>
        <w:t>强化规划</w:t>
      </w:r>
      <w:r>
        <w:rPr>
          <w:rFonts w:hint="eastAsia" w:ascii="Times New Roman" w:hAnsi="Times New Roman" w:eastAsia="仿宋_GB2312" w:cs="仿宋_GB2312"/>
          <w:spacing w:val="0"/>
          <w:sz w:val="32"/>
          <w:szCs w:val="32"/>
          <w:lang w:val="en-US" w:eastAsia="zh-CN"/>
        </w:rPr>
        <w:t>实施</w:t>
      </w:r>
      <w:r>
        <w:rPr>
          <w:rFonts w:hint="eastAsia" w:ascii="Times New Roman" w:hAnsi="Times New Roman" w:eastAsia="仿宋_GB2312" w:cs="仿宋_GB2312"/>
          <w:spacing w:val="-6"/>
          <w:sz w:val="32"/>
          <w:szCs w:val="32"/>
          <w:lang w:val="en-US" w:eastAsia="zh-CN"/>
        </w:rPr>
        <w:t>监测评估和监督，突出对重点目标任务的考核评价，推动规划落到实处。开展规划执行情况中期评估、总结评估，把评估结果作为改进工作的重要依据，形成部门联动、协同推进的工作格局。将评估和考核结果向县委、县政府报告，将规划实施情况纳入各部门、各乡镇领导干部考核评价体系，确保规划实施考核结果与被考核责任主体绩效挂钩。</w:t>
      </w:r>
    </w:p>
    <w:p w14:paraId="628012EE">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64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bidi="ar-SA"/>
        </w:rPr>
      </w:pPr>
      <w:bookmarkStart w:id="165" w:name="_Toc5101"/>
      <w:bookmarkStart w:id="166" w:name="_Toc27661"/>
      <w:bookmarkStart w:id="167" w:name="_Toc14460"/>
      <w:bookmarkStart w:id="168" w:name="_Toc24274"/>
      <w:bookmarkStart w:id="169" w:name="_Toc10734"/>
      <w:bookmarkStart w:id="170" w:name="_Toc15725"/>
      <w:bookmarkStart w:id="171" w:name="_Toc15799"/>
      <w:r>
        <w:rPr>
          <w:rFonts w:hint="eastAsia" w:ascii="黑体" w:hAnsi="黑体" w:eastAsia="黑体" w:cs="黑体"/>
          <w:b w:val="0"/>
          <w:bCs w:val="0"/>
          <w:color w:val="auto"/>
          <w:sz w:val="32"/>
          <w:szCs w:val="32"/>
          <w:highlight w:val="none"/>
          <w:lang w:val="en-US" w:eastAsia="zh-CN" w:bidi="ar-SA"/>
        </w:rPr>
        <w:t>四、深化宣传引导</w:t>
      </w:r>
      <w:bookmarkEnd w:id="165"/>
      <w:bookmarkEnd w:id="166"/>
      <w:bookmarkEnd w:id="167"/>
      <w:bookmarkEnd w:id="168"/>
      <w:bookmarkEnd w:id="169"/>
      <w:bookmarkEnd w:id="170"/>
      <w:bookmarkEnd w:id="171"/>
    </w:p>
    <w:p w14:paraId="2888C3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r>
        <w:rPr>
          <w:rFonts w:hint="default" w:ascii="Times New Roman" w:hAnsi="Times New Roman" w:eastAsia="仿宋_GB2312" w:cs="仿宋_GB2312"/>
          <w:spacing w:val="-6"/>
          <w:sz w:val="32"/>
          <w:szCs w:val="32"/>
          <w:lang w:val="en-US" w:eastAsia="zh-CN"/>
        </w:rPr>
        <w:t>依托世界野生动植物日、世界环境日、全国低碳日、全国生态日等各类生态宣传重要节点，</w:t>
      </w:r>
      <w:r>
        <w:rPr>
          <w:rFonts w:hint="eastAsia" w:ascii="Times New Roman" w:hAnsi="Times New Roman" w:eastAsia="仿宋_GB2312" w:cs="仿宋_GB2312"/>
          <w:spacing w:val="-6"/>
          <w:sz w:val="32"/>
          <w:szCs w:val="32"/>
          <w:lang w:val="en-US" w:eastAsia="zh-CN"/>
        </w:rPr>
        <w:t>充分利用</w:t>
      </w:r>
      <w:r>
        <w:rPr>
          <w:rFonts w:hint="default" w:ascii="Times New Roman" w:hAnsi="Times New Roman" w:eastAsia="仿宋_GB2312" w:cs="仿宋_GB2312"/>
          <w:spacing w:val="-6"/>
          <w:sz w:val="32"/>
          <w:szCs w:val="32"/>
          <w:lang w:val="en-US" w:eastAsia="zh-CN"/>
        </w:rPr>
        <w:t>县域各类媒体平台及环保宣传阵地，常态化开展生态环境保护宣传教育</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普及生态</w:t>
      </w:r>
      <w:r>
        <w:rPr>
          <w:rFonts w:hint="eastAsia" w:ascii="Times New Roman" w:hAnsi="Times New Roman" w:eastAsia="仿宋_GB2312" w:cs="仿宋_GB2312"/>
          <w:spacing w:val="-6"/>
          <w:sz w:val="32"/>
          <w:szCs w:val="32"/>
          <w:lang w:val="en-US" w:eastAsia="zh-CN"/>
        </w:rPr>
        <w:t>环境保护</w:t>
      </w:r>
      <w:r>
        <w:rPr>
          <w:rFonts w:hint="default" w:ascii="Times New Roman" w:hAnsi="Times New Roman" w:eastAsia="仿宋_GB2312" w:cs="仿宋_GB2312"/>
          <w:spacing w:val="-6"/>
          <w:sz w:val="32"/>
          <w:szCs w:val="32"/>
          <w:lang w:val="en-US" w:eastAsia="zh-CN"/>
        </w:rPr>
        <w:t>法律法规，全面宣传美丽丁青建设、</w:t>
      </w:r>
      <w:r>
        <w:rPr>
          <w:rFonts w:hint="eastAsia" w:ascii="Times New Roman" w:hAnsi="Times New Roman" w:eastAsia="仿宋_GB2312" w:cs="仿宋_GB2312"/>
          <w:spacing w:val="-6"/>
          <w:sz w:val="32"/>
          <w:szCs w:val="32"/>
          <w:lang w:val="en-US" w:eastAsia="zh-CN"/>
        </w:rPr>
        <w:t>“</w:t>
      </w:r>
      <w:r>
        <w:rPr>
          <w:rFonts w:hint="default" w:ascii="Times New Roman" w:hAnsi="Times New Roman" w:eastAsia="仿宋_GB2312" w:cs="仿宋_GB2312"/>
          <w:spacing w:val="-6"/>
          <w:sz w:val="32"/>
          <w:szCs w:val="32"/>
          <w:lang w:val="en-US" w:eastAsia="zh-CN"/>
        </w:rPr>
        <w:t>无废城市</w:t>
      </w:r>
      <w:r>
        <w:rPr>
          <w:rFonts w:hint="eastAsia" w:ascii="Times New Roman" w:hAnsi="Times New Roman" w:eastAsia="仿宋_GB2312" w:cs="仿宋_GB2312"/>
          <w:spacing w:val="-6"/>
          <w:sz w:val="32"/>
          <w:szCs w:val="32"/>
          <w:lang w:val="en-US" w:eastAsia="zh-CN"/>
        </w:rPr>
        <w:t>”建设</w:t>
      </w:r>
      <w:r>
        <w:rPr>
          <w:rFonts w:hint="default" w:ascii="Times New Roman" w:hAnsi="Times New Roman" w:eastAsia="仿宋_GB2312" w:cs="仿宋_GB2312"/>
          <w:spacing w:val="-6"/>
          <w:sz w:val="32"/>
          <w:szCs w:val="32"/>
          <w:lang w:val="en-US" w:eastAsia="zh-CN"/>
        </w:rPr>
        <w:t>、绿色发展、高原生态保护修复等工作成效，持续提升各族群众生态环保意识，营造全社会共同参与、共同守护丁青高原生态环境的良好氛围。</w:t>
      </w:r>
    </w:p>
    <w:p w14:paraId="18CF90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Times New Roman" w:hAnsi="Times New Roman" w:eastAsia="仿宋_GB2312" w:cs="仿宋_GB2312"/>
          <w:spacing w:val="-6"/>
          <w:sz w:val="32"/>
          <w:szCs w:val="32"/>
          <w:lang w:val="en-US" w:eastAsia="zh-CN"/>
        </w:rPr>
      </w:pPr>
    </w:p>
    <w:p w14:paraId="73B801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default" w:ascii="Times New Roman" w:hAnsi="Times New Roman" w:eastAsia="仿宋_GB2312" w:cs="仿宋_GB2312"/>
          <w:spacing w:val="-6"/>
          <w:sz w:val="32"/>
          <w:szCs w:val="32"/>
          <w:lang w:val="en-US" w:eastAsia="zh-CN"/>
        </w:rPr>
        <w:sectPr>
          <w:footerReference r:id="rId9" w:type="default"/>
          <w:footerReference r:id="rId10" w:type="even"/>
          <w:pgSz w:w="11906" w:h="16838"/>
          <w:pgMar w:top="2098" w:right="1474" w:bottom="1984" w:left="1587" w:header="851" w:footer="992" w:gutter="0"/>
          <w:pgNumType w:fmt="numberInDash" w:start="1"/>
          <w:cols w:space="720" w:num="1"/>
          <w:docGrid w:type="lines" w:linePitch="312" w:charSpace="0"/>
        </w:sectPr>
      </w:pPr>
    </w:p>
    <w:bookmarkEnd w:id="134"/>
    <w:p w14:paraId="1A498230">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jc w:val="both"/>
        <w:textAlignment w:val="auto"/>
        <w:outlineLvl w:val="0"/>
        <w:rPr>
          <w:rFonts w:hint="eastAsia" w:ascii="黑体" w:hAnsi="黑体" w:eastAsia="黑体" w:cs="黑体"/>
          <w:sz w:val="32"/>
          <w:szCs w:val="32"/>
          <w:lang w:val="en-US" w:eastAsia="zh-CN"/>
        </w:rPr>
      </w:pPr>
      <w:bookmarkStart w:id="172" w:name="_Toc28257"/>
      <w:bookmarkStart w:id="173" w:name="_Toc26341"/>
      <w:bookmarkStart w:id="174" w:name="_Toc28745"/>
      <w:bookmarkStart w:id="175" w:name="_Toc3828"/>
      <w:bookmarkStart w:id="176" w:name="_Toc5992"/>
      <w:r>
        <w:rPr>
          <w:rFonts w:hint="eastAsia" w:ascii="黑体" w:hAnsi="黑体" w:eastAsia="黑体" w:cs="黑体"/>
          <w:sz w:val="32"/>
          <w:szCs w:val="32"/>
          <w:lang w:val="en-US" w:eastAsia="zh-CN"/>
        </w:rPr>
        <w:t>附件1丁青县“十五五”生态环境保护规划重点项目清单</w:t>
      </w:r>
      <w:bookmarkEnd w:id="172"/>
      <w:bookmarkEnd w:id="173"/>
      <w:bookmarkEnd w:id="174"/>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48"/>
        <w:gridCol w:w="1774"/>
        <w:gridCol w:w="4450"/>
        <w:gridCol w:w="1124"/>
        <w:gridCol w:w="1326"/>
        <w:gridCol w:w="1263"/>
        <w:gridCol w:w="1757"/>
      </w:tblGrid>
      <w:tr w14:paraId="6383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163" w:type="pct"/>
            <w:noWrap w:val="0"/>
            <w:vAlign w:val="center"/>
          </w:tcPr>
          <w:p w14:paraId="53B3ECEE">
            <w:pPr>
              <w:keepNext w:val="0"/>
              <w:keepLines w:val="0"/>
              <w:widowControl/>
              <w:suppressLineNumbers w:val="0"/>
              <w:jc w:val="center"/>
              <w:textAlignment w:val="center"/>
              <w:rPr>
                <w:rFonts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序号</w:t>
            </w:r>
          </w:p>
        </w:tc>
        <w:tc>
          <w:tcPr>
            <w:tcW w:w="1011" w:type="pct"/>
            <w:gridSpan w:val="2"/>
            <w:noWrap w:val="0"/>
            <w:vAlign w:val="center"/>
          </w:tcPr>
          <w:p w14:paraId="7DD9A8E9">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项目名称</w:t>
            </w:r>
          </w:p>
        </w:tc>
        <w:tc>
          <w:tcPr>
            <w:tcW w:w="1715" w:type="pct"/>
            <w:noWrap w:val="0"/>
            <w:vAlign w:val="center"/>
          </w:tcPr>
          <w:p w14:paraId="6280F51E">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建设内容</w:t>
            </w:r>
          </w:p>
        </w:tc>
        <w:tc>
          <w:tcPr>
            <w:tcW w:w="433" w:type="pct"/>
            <w:noWrap w:val="0"/>
            <w:vAlign w:val="center"/>
          </w:tcPr>
          <w:p w14:paraId="23C9F631">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牵头单位</w:t>
            </w:r>
          </w:p>
        </w:tc>
        <w:tc>
          <w:tcPr>
            <w:tcW w:w="511" w:type="pct"/>
            <w:noWrap w:val="0"/>
            <w:vAlign w:val="center"/>
          </w:tcPr>
          <w:p w14:paraId="65CD0A28">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实施年限</w:t>
            </w:r>
          </w:p>
        </w:tc>
        <w:tc>
          <w:tcPr>
            <w:tcW w:w="487" w:type="pct"/>
            <w:noWrap w:val="0"/>
            <w:vAlign w:val="center"/>
          </w:tcPr>
          <w:p w14:paraId="19E8746A">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投资估算（万元）</w:t>
            </w:r>
          </w:p>
        </w:tc>
        <w:tc>
          <w:tcPr>
            <w:tcW w:w="677" w:type="pct"/>
            <w:noWrap w:val="0"/>
            <w:vAlign w:val="center"/>
          </w:tcPr>
          <w:p w14:paraId="198FA28F">
            <w:pPr>
              <w:keepNext w:val="0"/>
              <w:keepLines w:val="0"/>
              <w:widowControl/>
              <w:suppressLineNumbers w:val="0"/>
              <w:jc w:val="center"/>
              <w:textAlignment w:val="center"/>
              <w:rPr>
                <w:rFonts w:hint="eastAsia" w:ascii="Times New Roman" w:hAnsi="Times New Roman" w:eastAsia="方正黑体_GBK" w:cs="方正黑体_GBK"/>
                <w:i w:val="0"/>
                <w:iCs w:val="0"/>
                <w:color w:val="000000"/>
                <w:sz w:val="21"/>
                <w:szCs w:val="21"/>
                <w:highlight w:val="none"/>
                <w:u w:val="none"/>
              </w:rPr>
            </w:pPr>
            <w:r>
              <w:rPr>
                <w:rFonts w:hint="eastAsia" w:ascii="Times New Roman" w:hAnsi="Times New Roman" w:eastAsia="方正黑体_GBK" w:cs="方正黑体_GBK"/>
                <w:i w:val="0"/>
                <w:iCs w:val="0"/>
                <w:color w:val="000000"/>
                <w:kern w:val="0"/>
                <w:sz w:val="21"/>
                <w:szCs w:val="21"/>
                <w:highlight w:val="none"/>
                <w:u w:val="none"/>
                <w:lang w:val="en-US" w:eastAsia="zh-CN" w:bidi="ar"/>
              </w:rPr>
              <w:t>备注</w:t>
            </w:r>
          </w:p>
        </w:tc>
      </w:tr>
      <w:tr w14:paraId="0C00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8"/>
            <w:noWrap w:val="0"/>
            <w:vAlign w:val="center"/>
          </w:tcPr>
          <w:p w14:paraId="156E7AE5">
            <w:pPr>
              <w:keepNext w:val="0"/>
              <w:keepLines w:val="0"/>
              <w:widowControl/>
              <w:suppressLineNumbers w:val="0"/>
              <w:jc w:val="left"/>
              <w:textAlignment w:val="center"/>
              <w:rPr>
                <w:rFonts w:ascii="Times New Roman" w:hAnsi="Times New Roman" w:eastAsia="楷体" w:cs="楷体"/>
                <w:b/>
                <w:bCs/>
                <w:i w:val="0"/>
                <w:iCs w:val="0"/>
                <w:color w:val="000000"/>
                <w:sz w:val="21"/>
                <w:szCs w:val="21"/>
                <w:highlight w:val="none"/>
                <w:u w:val="none"/>
              </w:rPr>
            </w:pPr>
            <w:r>
              <w:rPr>
                <w:rFonts w:hint="eastAsia" w:ascii="Times New Roman" w:hAnsi="Times New Roman" w:eastAsia="楷体" w:cs="楷体"/>
                <w:b/>
                <w:bCs/>
                <w:i w:val="0"/>
                <w:iCs w:val="0"/>
                <w:color w:val="000000"/>
                <w:kern w:val="0"/>
                <w:sz w:val="21"/>
                <w:szCs w:val="21"/>
                <w:highlight w:val="none"/>
                <w:u w:val="none"/>
                <w:lang w:val="en-US" w:eastAsia="zh-CN" w:bidi="ar"/>
              </w:rPr>
              <w:t>一、生态系统保护与修复项目</w:t>
            </w:r>
          </w:p>
        </w:tc>
      </w:tr>
      <w:tr w14:paraId="45A1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3838E57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43B906D4">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林草生态保护修复</w:t>
            </w:r>
          </w:p>
        </w:tc>
        <w:tc>
          <w:tcPr>
            <w:tcW w:w="684" w:type="pct"/>
            <w:noWrap w:val="0"/>
            <w:vAlign w:val="center"/>
          </w:tcPr>
          <w:p w14:paraId="2DAAC960">
            <w:pPr>
              <w:keepNext w:val="0"/>
              <w:keepLines w:val="0"/>
              <w:widowControl/>
              <w:suppressLineNumbers w:val="0"/>
              <w:jc w:val="left"/>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
                <w:i w:val="0"/>
                <w:iCs w:val="0"/>
                <w:color w:val="000000"/>
                <w:kern w:val="0"/>
                <w:sz w:val="21"/>
                <w:szCs w:val="21"/>
                <w:u w:val="none"/>
                <w:lang w:val="en-US" w:eastAsia="zh-CN" w:bidi="ar"/>
              </w:rPr>
              <w:t>丁青县县城南北山周边地造林绿化生态修复项目</w:t>
            </w:r>
          </w:p>
        </w:tc>
        <w:tc>
          <w:tcPr>
            <w:tcW w:w="1715" w:type="pct"/>
            <w:noWrap w:val="0"/>
            <w:vAlign w:val="center"/>
          </w:tcPr>
          <w:p w14:paraId="13424A66">
            <w:pPr>
              <w:keepNext w:val="0"/>
              <w:keepLines w:val="0"/>
              <w:widowControl/>
              <w:suppressLineNumbers w:val="0"/>
              <w:jc w:val="left"/>
              <w:textAlignment w:val="center"/>
              <w:rPr>
                <w:rFonts w:hint="eastAsia" w:ascii="Times New Roman" w:hAnsi="Times New Roman" w:eastAsia="仿宋_GB2312" w:cs="仿宋_GB2312"/>
                <w:i w:val="0"/>
                <w:iCs w:val="0"/>
                <w:color w:val="000000"/>
                <w:sz w:val="21"/>
                <w:szCs w:val="21"/>
                <w:highlight w:val="none"/>
                <w:u w:val="none"/>
                <w:lang w:eastAsia="zh-CN"/>
              </w:rPr>
            </w:pPr>
            <w:r>
              <w:rPr>
                <w:rFonts w:hint="eastAsia" w:ascii="Times New Roman" w:hAnsi="Times New Roman" w:eastAsia="仿宋_GB2312" w:cs="仿宋"/>
                <w:i w:val="0"/>
                <w:iCs w:val="0"/>
                <w:color w:val="000000"/>
                <w:kern w:val="0"/>
                <w:sz w:val="21"/>
                <w:szCs w:val="21"/>
                <w:u w:val="none"/>
                <w:lang w:val="en-US" w:eastAsia="zh-CN" w:bidi="ar"/>
              </w:rPr>
              <w:t>计划实施县城及周边乡镇绿化造林5000亩。配套建设水利灌溉设施。</w:t>
            </w:r>
          </w:p>
        </w:tc>
        <w:tc>
          <w:tcPr>
            <w:tcW w:w="433" w:type="pct"/>
            <w:noWrap w:val="0"/>
            <w:vAlign w:val="center"/>
          </w:tcPr>
          <w:p w14:paraId="79D08A97">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县林草局</w:t>
            </w:r>
          </w:p>
        </w:tc>
        <w:tc>
          <w:tcPr>
            <w:tcW w:w="511" w:type="pct"/>
            <w:noWrap w:val="0"/>
            <w:vAlign w:val="center"/>
          </w:tcPr>
          <w:p w14:paraId="35B80BEB">
            <w:pPr>
              <w:keepNext w:val="0"/>
              <w:keepLines w:val="0"/>
              <w:widowControl/>
              <w:suppressLineNumbers w:val="0"/>
              <w:jc w:val="center"/>
              <w:textAlignment w:val="center"/>
              <w:rPr>
                <w:rFonts w:hint="default" w:ascii="Times New Roman" w:hAnsi="Times New Roman" w:eastAsia="仿宋_GB2312" w:cs="Times New Roman"/>
                <w:i w:val="0"/>
                <w:iCs w:val="0"/>
                <w:color w:val="FF0000"/>
                <w:sz w:val="21"/>
                <w:szCs w:val="21"/>
                <w:highlight w:val="none"/>
                <w:u w:val="none"/>
                <w:lang w:val="en-US" w:eastAsia="zh-CN"/>
              </w:rPr>
            </w:pPr>
            <w:r>
              <w:rPr>
                <w:rFonts w:hint="eastAsia" w:ascii="Times New Roman" w:hAnsi="Times New Roman" w:eastAsia="仿宋_GB2312" w:cs="Times New Roman"/>
                <w:i w:val="0"/>
                <w:iCs w:val="0"/>
                <w:color w:val="auto"/>
                <w:sz w:val="21"/>
                <w:szCs w:val="21"/>
                <w:highlight w:val="none"/>
                <w:u w:val="none"/>
                <w:lang w:val="en-US" w:eastAsia="zh-CN"/>
              </w:rPr>
              <w:t>2025-2026</w:t>
            </w:r>
          </w:p>
        </w:tc>
        <w:tc>
          <w:tcPr>
            <w:tcW w:w="487" w:type="pct"/>
            <w:noWrap w:val="0"/>
            <w:vAlign w:val="center"/>
          </w:tcPr>
          <w:p w14:paraId="78A708F3">
            <w:pPr>
              <w:keepNext w:val="0"/>
              <w:keepLines w:val="0"/>
              <w:widowControl/>
              <w:suppressLineNumbers w:val="0"/>
              <w:jc w:val="center"/>
              <w:textAlignment w:val="center"/>
              <w:rPr>
                <w:rFonts w:hint="eastAsia" w:ascii="Times New Roman" w:hAnsi="Times New Roman" w:eastAsia="仿宋_GB2312" w:cs="宋体"/>
                <w:i w:val="0"/>
                <w:iCs w:val="0"/>
                <w:color w:val="FF0000"/>
                <w:sz w:val="21"/>
                <w:szCs w:val="21"/>
                <w:highlight w:val="none"/>
                <w:u w:val="none"/>
              </w:rPr>
            </w:pPr>
            <w:r>
              <w:rPr>
                <w:rFonts w:hint="eastAsia" w:ascii="Times New Roman" w:hAnsi="Times New Roman" w:eastAsia="仿宋_GB2312" w:cs="仿宋"/>
                <w:i w:val="0"/>
                <w:iCs w:val="0"/>
                <w:color w:val="000000"/>
                <w:kern w:val="0"/>
                <w:sz w:val="21"/>
                <w:szCs w:val="21"/>
                <w:u w:val="none"/>
                <w:lang w:val="en-US" w:eastAsia="zh-CN" w:bidi="ar"/>
              </w:rPr>
              <w:t>10050</w:t>
            </w:r>
          </w:p>
        </w:tc>
        <w:tc>
          <w:tcPr>
            <w:tcW w:w="677" w:type="pct"/>
            <w:noWrap w:val="0"/>
            <w:vAlign w:val="center"/>
          </w:tcPr>
          <w:p w14:paraId="1F202062">
            <w:pPr>
              <w:keepNext w:val="0"/>
              <w:keepLines w:val="0"/>
              <w:widowControl/>
              <w:suppressLineNumbers w:val="0"/>
              <w:jc w:val="center"/>
              <w:textAlignment w:val="center"/>
              <w:rPr>
                <w:rFonts w:hint="eastAsia" w:ascii="Times New Roman" w:hAnsi="Times New Roman" w:eastAsia="仿宋_GB2312" w:cs="仿宋_GB2312"/>
                <w:i w:val="0"/>
                <w:iCs w:val="0"/>
                <w:color w:val="FF0000"/>
                <w:sz w:val="21"/>
                <w:szCs w:val="21"/>
                <w:highlight w:val="none"/>
                <w:u w:val="none"/>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4684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63" w:type="pct"/>
            <w:noWrap w:val="0"/>
            <w:vAlign w:val="center"/>
          </w:tcPr>
          <w:p w14:paraId="53F77697">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2E8602C">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0819AF3A">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昌都市丁青县重点区域造林</w:t>
            </w:r>
          </w:p>
        </w:tc>
        <w:tc>
          <w:tcPr>
            <w:tcW w:w="1715" w:type="pct"/>
            <w:noWrap w:val="0"/>
            <w:vAlign w:val="center"/>
          </w:tcPr>
          <w:p w14:paraId="7207A32F">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实施造林1万亩、每年实施2千亩。</w:t>
            </w:r>
          </w:p>
        </w:tc>
        <w:tc>
          <w:tcPr>
            <w:tcW w:w="433" w:type="pct"/>
            <w:noWrap w:val="0"/>
            <w:vAlign w:val="center"/>
          </w:tcPr>
          <w:p w14:paraId="7450779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0FE5FC5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079256BC">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60000</w:t>
            </w:r>
          </w:p>
        </w:tc>
        <w:tc>
          <w:tcPr>
            <w:tcW w:w="677" w:type="pct"/>
            <w:noWrap w:val="0"/>
            <w:vAlign w:val="center"/>
          </w:tcPr>
          <w:p w14:paraId="023DF0A3">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60F2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2666901">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1C3C53D5">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D60D40E">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昌都市丁青县两江四河造林</w:t>
            </w:r>
          </w:p>
        </w:tc>
        <w:tc>
          <w:tcPr>
            <w:tcW w:w="1715" w:type="pct"/>
            <w:noWrap w:val="0"/>
            <w:vAlign w:val="center"/>
          </w:tcPr>
          <w:p w14:paraId="3E7E4DC3">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实施造林5千亩、每年实施1千亩。</w:t>
            </w:r>
          </w:p>
        </w:tc>
        <w:tc>
          <w:tcPr>
            <w:tcW w:w="433" w:type="pct"/>
            <w:noWrap w:val="0"/>
            <w:vAlign w:val="center"/>
          </w:tcPr>
          <w:p w14:paraId="0EE71843">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2A613618">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6A82C1F9">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1613</w:t>
            </w:r>
          </w:p>
        </w:tc>
        <w:tc>
          <w:tcPr>
            <w:tcW w:w="677" w:type="pct"/>
            <w:noWrap w:val="0"/>
            <w:vAlign w:val="center"/>
          </w:tcPr>
          <w:p w14:paraId="58A3D903">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7379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683C81A5">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4767098">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656F5C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昌都市丁青县317沿线造林绿化生态修复项目</w:t>
            </w:r>
          </w:p>
        </w:tc>
        <w:tc>
          <w:tcPr>
            <w:tcW w:w="1715" w:type="pct"/>
            <w:noWrap w:val="0"/>
            <w:vAlign w:val="center"/>
          </w:tcPr>
          <w:p w14:paraId="234D3F93">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计划实施县城及周边乡镇绿化造林4000亩。配套建设水利灌溉设施。</w:t>
            </w:r>
          </w:p>
        </w:tc>
        <w:tc>
          <w:tcPr>
            <w:tcW w:w="433" w:type="pct"/>
            <w:noWrap w:val="0"/>
            <w:vAlign w:val="center"/>
          </w:tcPr>
          <w:p w14:paraId="6623DEE9">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1EECFA04">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6F23905A">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8000</w:t>
            </w:r>
          </w:p>
        </w:tc>
        <w:tc>
          <w:tcPr>
            <w:tcW w:w="677" w:type="pct"/>
            <w:noWrap w:val="0"/>
            <w:vAlign w:val="center"/>
          </w:tcPr>
          <w:p w14:paraId="0FFC6DE7">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县林草局项目库</w:t>
            </w:r>
          </w:p>
        </w:tc>
      </w:tr>
      <w:tr w14:paraId="6CC0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5E62B4B0">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4CEA1210">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481082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昌都市丁青县森林质量提升</w:t>
            </w:r>
          </w:p>
        </w:tc>
        <w:tc>
          <w:tcPr>
            <w:tcW w:w="1715" w:type="pct"/>
            <w:noWrap w:val="0"/>
            <w:vAlign w:val="center"/>
          </w:tcPr>
          <w:p w14:paraId="66A2304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重点区域造林（6000一亩，1万亩（包含两江四河造林5000亩），共6000万）封山育林（100一亩，5万亩，共500万）森林抚育（200一亩，2万亩，共400万）</w:t>
            </w:r>
          </w:p>
        </w:tc>
        <w:tc>
          <w:tcPr>
            <w:tcW w:w="433" w:type="pct"/>
            <w:noWrap w:val="0"/>
            <w:vAlign w:val="center"/>
          </w:tcPr>
          <w:p w14:paraId="0FE8AB3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5D1BCAD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2026-2030</w:t>
            </w:r>
          </w:p>
        </w:tc>
        <w:tc>
          <w:tcPr>
            <w:tcW w:w="487" w:type="pct"/>
            <w:noWrap w:val="0"/>
            <w:vAlign w:val="center"/>
          </w:tcPr>
          <w:p w14:paraId="2D4FD77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仿宋_GB2312" w:cs="仿宋"/>
                <w:i w:val="0"/>
                <w:iCs w:val="0"/>
                <w:color w:val="000000"/>
                <w:kern w:val="0"/>
                <w:sz w:val="21"/>
                <w:szCs w:val="21"/>
                <w:u w:val="none"/>
                <w:lang w:val="en-US" w:eastAsia="zh-CN" w:bidi="ar"/>
              </w:rPr>
              <w:t xml:space="preserve">800 </w:t>
            </w:r>
          </w:p>
        </w:tc>
        <w:tc>
          <w:tcPr>
            <w:tcW w:w="677" w:type="pct"/>
            <w:noWrap w:val="0"/>
            <w:vAlign w:val="center"/>
          </w:tcPr>
          <w:p w14:paraId="13BA85EF">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highlight w:val="none"/>
                <w:u w:val="none"/>
                <w:lang w:val="en-US" w:eastAsia="zh-CN" w:bidi="ar-SA"/>
              </w:rPr>
            </w:pPr>
            <w:r>
              <w:rPr>
                <w:rFonts w:hint="eastAsia" w:ascii="Times New Roman" w:hAnsi="Times New Roman" w:eastAsia="仿宋_GB2312" w:cs="仿宋_GB2312"/>
                <w:i w:val="0"/>
                <w:iCs w:val="0"/>
                <w:color w:val="000000"/>
                <w:sz w:val="21"/>
                <w:szCs w:val="21"/>
                <w:highlight w:val="none"/>
                <w:u w:val="none"/>
                <w:lang w:val="en-US" w:eastAsia="zh-CN"/>
              </w:rPr>
              <w:t>县林草局项目库</w:t>
            </w:r>
          </w:p>
        </w:tc>
      </w:tr>
      <w:tr w14:paraId="1A17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3" w:type="pct"/>
            <w:noWrap w:val="0"/>
            <w:vAlign w:val="center"/>
          </w:tcPr>
          <w:p w14:paraId="5CCDFF4C">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33BBFE5">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ECA0C9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丁青县防沙治沙草原修复</w:t>
            </w:r>
          </w:p>
        </w:tc>
        <w:tc>
          <w:tcPr>
            <w:tcW w:w="1715" w:type="pct"/>
            <w:noWrap w:val="0"/>
            <w:vAlign w:val="center"/>
          </w:tcPr>
          <w:p w14:paraId="657C533B">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4万亩沙化土地的草原修复</w:t>
            </w:r>
          </w:p>
        </w:tc>
        <w:tc>
          <w:tcPr>
            <w:tcW w:w="433" w:type="pct"/>
            <w:noWrap w:val="0"/>
            <w:vAlign w:val="center"/>
          </w:tcPr>
          <w:p w14:paraId="00B62E64">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2FC04A7F">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2025-2026</w:t>
            </w:r>
          </w:p>
        </w:tc>
        <w:tc>
          <w:tcPr>
            <w:tcW w:w="487" w:type="pct"/>
            <w:noWrap w:val="0"/>
            <w:vAlign w:val="center"/>
          </w:tcPr>
          <w:p w14:paraId="1304BC0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3500</w:t>
            </w:r>
          </w:p>
        </w:tc>
        <w:tc>
          <w:tcPr>
            <w:tcW w:w="677" w:type="pct"/>
            <w:noWrap w:val="0"/>
            <w:vAlign w:val="center"/>
          </w:tcPr>
          <w:p w14:paraId="282350AD">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highlight w:val="none"/>
                <w:u w:val="none"/>
                <w:lang w:val="en-US" w:eastAsia="zh-CN" w:bidi="ar-SA"/>
              </w:rPr>
            </w:pPr>
            <w:r>
              <w:rPr>
                <w:rFonts w:hint="eastAsia" w:ascii="Times New Roman" w:hAnsi="Times New Roman" w:eastAsia="仿宋_GB2312" w:cs="仿宋_GB2312"/>
                <w:i w:val="0"/>
                <w:iCs w:val="0"/>
                <w:color w:val="000000"/>
                <w:sz w:val="21"/>
                <w:szCs w:val="21"/>
                <w:highlight w:val="none"/>
                <w:u w:val="none"/>
                <w:lang w:val="en-US" w:eastAsia="zh-CN"/>
              </w:rPr>
              <w:t>县林草局项目库</w:t>
            </w:r>
          </w:p>
        </w:tc>
      </w:tr>
      <w:tr w14:paraId="70FF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1537ADA">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D8176FB">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2838C0B">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丁青县草原生态修复项目</w:t>
            </w:r>
          </w:p>
        </w:tc>
        <w:tc>
          <w:tcPr>
            <w:tcW w:w="1715" w:type="pct"/>
            <w:noWrap w:val="0"/>
            <w:vAlign w:val="center"/>
          </w:tcPr>
          <w:p w14:paraId="5141AAC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计划实施草原生态修复10万亩，每年实施2万亩</w:t>
            </w:r>
          </w:p>
        </w:tc>
        <w:tc>
          <w:tcPr>
            <w:tcW w:w="433" w:type="pct"/>
            <w:noWrap w:val="0"/>
            <w:vAlign w:val="center"/>
          </w:tcPr>
          <w:p w14:paraId="07324396">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2CD31726">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3112C41F">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3000</w:t>
            </w:r>
          </w:p>
        </w:tc>
        <w:tc>
          <w:tcPr>
            <w:tcW w:w="677" w:type="pct"/>
            <w:noWrap w:val="0"/>
            <w:vAlign w:val="center"/>
          </w:tcPr>
          <w:p w14:paraId="1B084FC1">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highlight w:val="none"/>
                <w:u w:val="none"/>
                <w:lang w:val="en-US" w:eastAsia="zh-CN" w:bidi="ar-SA"/>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5571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370B5A0E">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52A5F0A">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47DAB0D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丁青县退化草原生态保护修复工程</w:t>
            </w:r>
          </w:p>
        </w:tc>
        <w:tc>
          <w:tcPr>
            <w:tcW w:w="1715" w:type="pct"/>
            <w:noWrap w:val="0"/>
            <w:vAlign w:val="center"/>
          </w:tcPr>
          <w:p w14:paraId="4875B143">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退化草原生态修复工程、鼠害生态防治工程及围网封育工程三类子工程。其中，（1）退化草</w:t>
            </w:r>
          </w:p>
          <w:p w14:paraId="3DA2CD4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原生态修复工程建设工程范围共38.10万m</w:t>
            </w:r>
            <w:r>
              <w:rPr>
                <w:rFonts w:hint="eastAsia" w:ascii="Times New Roman" w:hAnsi="Times New Roman" w:eastAsia="仿宋_GB2312" w:cs="仿宋"/>
                <w:i w:val="0"/>
                <w:iCs w:val="0"/>
                <w:color w:val="000000"/>
                <w:kern w:val="0"/>
                <w:sz w:val="21"/>
                <w:szCs w:val="21"/>
                <w:u w:val="none"/>
                <w:vertAlign w:val="superscript"/>
                <w:lang w:val="en-US" w:eastAsia="zh-CN" w:bidi="ar"/>
              </w:rPr>
              <w:t>2</w:t>
            </w:r>
            <w:r>
              <w:rPr>
                <w:rFonts w:hint="eastAsia" w:ascii="Times New Roman" w:hAnsi="Times New Roman" w:eastAsia="仿宋_GB2312" w:cs="仿宋"/>
                <w:i w:val="0"/>
                <w:iCs w:val="0"/>
                <w:color w:val="000000"/>
                <w:kern w:val="0"/>
                <w:sz w:val="21"/>
                <w:szCs w:val="21"/>
                <w:u w:val="none"/>
                <w:lang w:val="en-US" w:eastAsia="zh-CN" w:bidi="ar"/>
              </w:rPr>
              <w:t>，包括种植草本植物22.86 万㎡，种植土换填22860.4m³；（2）鼠害生态防治工程建设招鹰架3个；（3）围网封育工程建设简易铁丝围网 2214m，配套简易大门 3 个。</w:t>
            </w:r>
          </w:p>
        </w:tc>
        <w:tc>
          <w:tcPr>
            <w:tcW w:w="433" w:type="pct"/>
            <w:noWrap w:val="0"/>
            <w:vAlign w:val="center"/>
          </w:tcPr>
          <w:p w14:paraId="599604DB">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391D0630">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76A3DB32">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728.19</w:t>
            </w:r>
          </w:p>
        </w:tc>
        <w:tc>
          <w:tcPr>
            <w:tcW w:w="677" w:type="pct"/>
            <w:noWrap w:val="0"/>
            <w:vAlign w:val="center"/>
          </w:tcPr>
          <w:p w14:paraId="5E97DCB3">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4ACA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5D9B179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06DD4FD6">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水生态保护修复</w:t>
            </w:r>
          </w:p>
        </w:tc>
        <w:tc>
          <w:tcPr>
            <w:tcW w:w="684" w:type="pct"/>
            <w:noWrap w:val="0"/>
            <w:vAlign w:val="center"/>
          </w:tcPr>
          <w:p w14:paraId="677FC217">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昌都市丁青县布托湖生态修复工程</w:t>
            </w:r>
          </w:p>
        </w:tc>
        <w:tc>
          <w:tcPr>
            <w:tcW w:w="1715" w:type="pct"/>
            <w:noWrap w:val="0"/>
            <w:vAlign w:val="center"/>
          </w:tcPr>
          <w:p w14:paraId="13CDAA2D">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采取截污治污，河湖清淤等措施对丁青布托湖进行生态环境综合治理及预警能力建设，农村生活垃圾治理，保证城市饮用水安全。</w:t>
            </w:r>
          </w:p>
        </w:tc>
        <w:tc>
          <w:tcPr>
            <w:tcW w:w="433" w:type="pct"/>
            <w:noWrap w:val="0"/>
            <w:vAlign w:val="center"/>
          </w:tcPr>
          <w:p w14:paraId="30A6DB06">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718C45B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0659C0A5">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1800</w:t>
            </w:r>
          </w:p>
        </w:tc>
        <w:tc>
          <w:tcPr>
            <w:tcW w:w="677" w:type="pct"/>
            <w:noWrap w:val="0"/>
            <w:vAlign w:val="center"/>
          </w:tcPr>
          <w:p w14:paraId="77750F5C">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698A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030F2DC9">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28A41117">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750612B3">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昌都市丁青县色曲（嘎曲）尺牍段生态修复治理工程</w:t>
            </w:r>
          </w:p>
        </w:tc>
        <w:tc>
          <w:tcPr>
            <w:tcW w:w="1715" w:type="pct"/>
            <w:noWrap w:val="0"/>
            <w:vAlign w:val="center"/>
          </w:tcPr>
          <w:p w14:paraId="7D599D3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治理河长1.8公里，修复绿化河道岸线14000平方米。</w:t>
            </w:r>
          </w:p>
        </w:tc>
        <w:tc>
          <w:tcPr>
            <w:tcW w:w="433" w:type="pct"/>
            <w:noWrap w:val="0"/>
            <w:vAlign w:val="center"/>
          </w:tcPr>
          <w:p w14:paraId="6B137857">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7162709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2027-2028</w:t>
            </w:r>
          </w:p>
        </w:tc>
        <w:tc>
          <w:tcPr>
            <w:tcW w:w="487" w:type="pct"/>
            <w:noWrap w:val="0"/>
            <w:vAlign w:val="center"/>
          </w:tcPr>
          <w:p w14:paraId="0BE840B5">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2300</w:t>
            </w:r>
          </w:p>
        </w:tc>
        <w:tc>
          <w:tcPr>
            <w:tcW w:w="677" w:type="pct"/>
            <w:noWrap w:val="0"/>
            <w:vAlign w:val="center"/>
          </w:tcPr>
          <w:p w14:paraId="481EB8A8">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县水利局项目</w:t>
            </w:r>
          </w:p>
        </w:tc>
      </w:tr>
      <w:tr w14:paraId="0D85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24719EEB">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D46E3C9">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701CCD2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丁青县雍达曲生态缓冲带修复工程</w:t>
            </w:r>
          </w:p>
        </w:tc>
        <w:tc>
          <w:tcPr>
            <w:tcW w:w="1715" w:type="pct"/>
            <w:noWrap w:val="0"/>
            <w:vAlign w:val="center"/>
          </w:tcPr>
          <w:p w14:paraId="4B821A55">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（1）植被缓冲带工程：建设面积共计24306㎡；</w:t>
            </w:r>
          </w:p>
          <w:p w14:paraId="1E4365C6">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（2）河滨湿地工程，建设面积共计111793㎡；</w:t>
            </w:r>
          </w:p>
          <w:p w14:paraId="6A51091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（3）生态护岸工程，建设长度共计4120 m。</w:t>
            </w:r>
          </w:p>
        </w:tc>
        <w:tc>
          <w:tcPr>
            <w:tcW w:w="433" w:type="pct"/>
            <w:noWrap w:val="0"/>
            <w:vAlign w:val="center"/>
          </w:tcPr>
          <w:p w14:paraId="752A5816">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49F8202D">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76C341A4">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3407.82</w:t>
            </w:r>
          </w:p>
        </w:tc>
        <w:tc>
          <w:tcPr>
            <w:tcW w:w="677" w:type="pct"/>
            <w:noWrap w:val="0"/>
            <w:vAlign w:val="center"/>
          </w:tcPr>
          <w:p w14:paraId="2FA9C693">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13E7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7723F60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EC2D932">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08A85AA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丁青县嘎曲流域嘎塔乡段河流缓冲带生态保护修复工程</w:t>
            </w:r>
          </w:p>
        </w:tc>
        <w:tc>
          <w:tcPr>
            <w:tcW w:w="1715" w:type="pct"/>
            <w:noWrap w:val="0"/>
            <w:vAlign w:val="center"/>
          </w:tcPr>
          <w:p w14:paraId="24A87B7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项目主要建设内容包括格宾石笼生态护岸（5424米）、草本种植（180973㎡）、灌木种植（44685株）、种植土回（换）填（41284㎡）、场地平整及垃圾清理（28000㎡）、铁丝围网（5797米）、简易大门（12座）</w:t>
            </w:r>
          </w:p>
        </w:tc>
        <w:tc>
          <w:tcPr>
            <w:tcW w:w="433" w:type="pct"/>
            <w:noWrap w:val="0"/>
            <w:vAlign w:val="center"/>
          </w:tcPr>
          <w:p w14:paraId="1175404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433C922C">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1DCDD885">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3045.29</w:t>
            </w:r>
          </w:p>
        </w:tc>
        <w:tc>
          <w:tcPr>
            <w:tcW w:w="677" w:type="pct"/>
            <w:noWrap w:val="0"/>
            <w:vAlign w:val="center"/>
          </w:tcPr>
          <w:p w14:paraId="35A36BCC">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6D12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300909E1">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57047A8">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508FF6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丁青县打曲流域生态缓冲带保护修复工程</w:t>
            </w:r>
          </w:p>
        </w:tc>
        <w:tc>
          <w:tcPr>
            <w:tcW w:w="1715" w:type="pct"/>
            <w:noWrap w:val="0"/>
            <w:vAlign w:val="center"/>
          </w:tcPr>
          <w:p w14:paraId="5067FCF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（1）生态护岸工程：共建设石笼生态护岸长度2200m；</w:t>
            </w:r>
          </w:p>
          <w:p w14:paraId="0181083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（2）河滨缓冲带生态修复工程：保护修复面积24.0万㎡，种植乔木26700株，灌木240000株，草本植物240000㎡；</w:t>
            </w:r>
          </w:p>
          <w:p w14:paraId="2F48A56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（3）围网封育工程：建设铁丝围网3500m，配套简易大门4座。</w:t>
            </w:r>
          </w:p>
        </w:tc>
        <w:tc>
          <w:tcPr>
            <w:tcW w:w="433" w:type="pct"/>
            <w:noWrap w:val="0"/>
            <w:vAlign w:val="center"/>
          </w:tcPr>
          <w:p w14:paraId="26530F96">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6ECF1915">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086B282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3300</w:t>
            </w:r>
          </w:p>
        </w:tc>
        <w:tc>
          <w:tcPr>
            <w:tcW w:w="677" w:type="pct"/>
            <w:noWrap w:val="0"/>
            <w:vAlign w:val="center"/>
          </w:tcPr>
          <w:p w14:paraId="2BBACE27">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42E6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5874C92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0408CAB2">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矿山生态修复</w:t>
            </w:r>
          </w:p>
        </w:tc>
        <w:tc>
          <w:tcPr>
            <w:tcW w:w="684" w:type="pct"/>
            <w:noWrap w:val="0"/>
            <w:vAlign w:val="center"/>
          </w:tcPr>
          <w:p w14:paraId="3B1D6F2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青县色康矿区砖瓦用泥岩（粘土）矿2026年生态修复</w:t>
            </w:r>
          </w:p>
        </w:tc>
        <w:tc>
          <w:tcPr>
            <w:tcW w:w="1715" w:type="pct"/>
            <w:noWrap w:val="0"/>
            <w:vAlign w:val="center"/>
          </w:tcPr>
          <w:p w14:paraId="4E7EEA29">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针对已建成且不再利用的开挖区域，即当前最底部平台及斜坡的东侧部分，开展生态修复工作，修复面积约350平方米。采用草籽播撒、后期养护、补播及网围防护相结合的综合修复方式，确保区域植被有效恢复。</w:t>
            </w:r>
          </w:p>
        </w:tc>
        <w:tc>
          <w:tcPr>
            <w:tcW w:w="433" w:type="pct"/>
            <w:noWrap w:val="0"/>
            <w:vAlign w:val="center"/>
          </w:tcPr>
          <w:p w14:paraId="5C874E80">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县自然资源局</w:t>
            </w:r>
          </w:p>
        </w:tc>
        <w:tc>
          <w:tcPr>
            <w:tcW w:w="511" w:type="pct"/>
            <w:noWrap w:val="0"/>
            <w:vAlign w:val="center"/>
          </w:tcPr>
          <w:p w14:paraId="2589DD3F">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w:t>
            </w:r>
          </w:p>
        </w:tc>
        <w:tc>
          <w:tcPr>
            <w:tcW w:w="487" w:type="pct"/>
            <w:noWrap w:val="0"/>
            <w:vAlign w:val="center"/>
          </w:tcPr>
          <w:p w14:paraId="04DB18BA">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3.07</w:t>
            </w:r>
          </w:p>
        </w:tc>
        <w:tc>
          <w:tcPr>
            <w:tcW w:w="677" w:type="pct"/>
            <w:noWrap w:val="0"/>
            <w:vAlign w:val="center"/>
          </w:tcPr>
          <w:p w14:paraId="241A68EC">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县自然资源局项目</w:t>
            </w:r>
          </w:p>
        </w:tc>
      </w:tr>
      <w:tr w14:paraId="2F53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163" w:type="pct"/>
            <w:noWrap w:val="0"/>
            <w:vAlign w:val="center"/>
          </w:tcPr>
          <w:p w14:paraId="4AA74A3E">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C0FD9EE">
            <w:pPr>
              <w:jc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6BB1184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丁青县金元煤业有限责任公司</w:t>
            </w:r>
          </w:p>
          <w:p w14:paraId="7E884375">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自家浦煤矿2026 年生态修复</w:t>
            </w:r>
          </w:p>
        </w:tc>
        <w:tc>
          <w:tcPr>
            <w:tcW w:w="1715" w:type="pct"/>
            <w:noWrap w:val="0"/>
            <w:vAlign w:val="center"/>
          </w:tcPr>
          <w:p w14:paraId="7DB39FA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植被修复：针对矿区大门外、大门至综合楼区段、项目部周边、风井口闲置区域、原煤仓拆除区域及历年植被恢复薄弱区，开展高原乡土草种精准复种，总复种面积不低于 800 ㎡。水土保持：针对冻融期设施破损、洪水期水沟堵塞等问题，对矿区截洪沟、沉淀池、挡渣坝、波纹管水沟等水土保持设施进行全面修缮、清淤、加固，严格落实截排水措施要求。</w:t>
            </w:r>
          </w:p>
        </w:tc>
        <w:tc>
          <w:tcPr>
            <w:tcW w:w="433" w:type="pct"/>
            <w:noWrap w:val="0"/>
            <w:vAlign w:val="center"/>
          </w:tcPr>
          <w:p w14:paraId="4225D2E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p>
          <w:p w14:paraId="201F9FBD">
            <w:pPr>
              <w:bidi w:val="0"/>
              <w:jc w:val="center"/>
              <w:rPr>
                <w:rFonts w:hint="eastAsia" w:ascii="Calibri" w:hAnsi="Calibri"/>
                <w:kern w:val="2"/>
                <w:sz w:val="21"/>
                <w:szCs w:val="24"/>
                <w:lang w:val="en-US" w:eastAsia="zh-CN" w:bidi="ar-SA"/>
              </w:rPr>
            </w:pPr>
            <w:r>
              <w:rPr>
                <w:rFonts w:hint="eastAsia" w:ascii="Times New Roman" w:hAnsi="Times New Roman" w:eastAsia="仿宋_GB2312" w:cs="仿宋"/>
                <w:i w:val="0"/>
                <w:iCs w:val="0"/>
                <w:color w:val="000000"/>
                <w:kern w:val="0"/>
                <w:sz w:val="21"/>
                <w:szCs w:val="21"/>
                <w:u w:val="none"/>
                <w:lang w:val="en-US" w:eastAsia="zh-CN" w:bidi="ar"/>
              </w:rPr>
              <w:t>县自然资源局</w:t>
            </w:r>
          </w:p>
        </w:tc>
        <w:tc>
          <w:tcPr>
            <w:tcW w:w="511" w:type="pct"/>
            <w:noWrap w:val="0"/>
            <w:vAlign w:val="center"/>
          </w:tcPr>
          <w:p w14:paraId="784A742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2026-2027</w:t>
            </w:r>
          </w:p>
        </w:tc>
        <w:tc>
          <w:tcPr>
            <w:tcW w:w="487" w:type="pct"/>
            <w:noWrap w:val="0"/>
            <w:vAlign w:val="center"/>
          </w:tcPr>
          <w:p w14:paraId="1F4108A5">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677" w:type="pct"/>
            <w:noWrap w:val="0"/>
            <w:vAlign w:val="center"/>
          </w:tcPr>
          <w:p w14:paraId="71194A69">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r>
      <w:tr w14:paraId="646C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63" w:type="pct"/>
            <w:noWrap w:val="0"/>
            <w:vAlign w:val="center"/>
          </w:tcPr>
          <w:p w14:paraId="1CF8584C">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noWrap w:val="0"/>
            <w:vAlign w:val="center"/>
          </w:tcPr>
          <w:p w14:paraId="2B1E6510">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沙漠化治理</w:t>
            </w:r>
          </w:p>
        </w:tc>
        <w:tc>
          <w:tcPr>
            <w:tcW w:w="684" w:type="pct"/>
            <w:noWrap w:val="0"/>
            <w:vAlign w:val="center"/>
          </w:tcPr>
          <w:p w14:paraId="6480878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丁青县布塔乡生态修复工程（沙漠化治理）</w:t>
            </w:r>
          </w:p>
        </w:tc>
        <w:tc>
          <w:tcPr>
            <w:tcW w:w="1715" w:type="pct"/>
            <w:noWrap w:val="0"/>
            <w:vAlign w:val="center"/>
          </w:tcPr>
          <w:p w14:paraId="2ADD529B">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丁青县内荒漠化较为严重的地区（布托乡）生态修复及鼠害等统一治理，根据沙漠化范围大小治理每年投资均约1000多万，治理500余亩。</w:t>
            </w:r>
          </w:p>
        </w:tc>
        <w:tc>
          <w:tcPr>
            <w:tcW w:w="433" w:type="pct"/>
            <w:noWrap w:val="0"/>
            <w:vAlign w:val="center"/>
          </w:tcPr>
          <w:p w14:paraId="0544C120">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071E343D">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067F1581">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1300</w:t>
            </w:r>
          </w:p>
        </w:tc>
        <w:tc>
          <w:tcPr>
            <w:tcW w:w="677" w:type="pct"/>
            <w:noWrap w:val="0"/>
            <w:vAlign w:val="center"/>
          </w:tcPr>
          <w:p w14:paraId="5156994A">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713C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3" w:type="pct"/>
            <w:noWrap w:val="0"/>
            <w:vAlign w:val="center"/>
          </w:tcPr>
          <w:p w14:paraId="14C00D45">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noWrap w:val="0"/>
            <w:vAlign w:val="center"/>
          </w:tcPr>
          <w:p w14:paraId="720DB89F">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冰川保护修复</w:t>
            </w:r>
          </w:p>
        </w:tc>
        <w:tc>
          <w:tcPr>
            <w:tcW w:w="684" w:type="pct"/>
            <w:noWrap w:val="0"/>
            <w:vAlign w:val="center"/>
          </w:tcPr>
          <w:p w14:paraId="6572F2F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昌都市丁青县焫茸冰川综合监测系统工程项目</w:t>
            </w:r>
          </w:p>
        </w:tc>
        <w:tc>
          <w:tcPr>
            <w:tcW w:w="1715" w:type="pct"/>
            <w:noWrap w:val="0"/>
            <w:vAlign w:val="center"/>
          </w:tcPr>
          <w:p w14:paraId="41D859A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建设规模及内容：（1）冰川在线监测、监控能力建设工程</w:t>
            </w:r>
          </w:p>
          <w:p w14:paraId="159A8B2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自动气象站3处（主要采集气温、气压、湿度、风向风速、日照、蒸发量、降水、辐射等数据），分别位于海拔较低的消融区、海拔较高的积累区及冰湖区；2）测杆27根，于海拔4700m-5600m，按照等高线每100米一排设置，每排3根（主流线1根，两侧各1根）；3）激光测距仪27个，与测杆配套使用；4）高清摄像仪4处，分别位于海拔较高的积累区、物质平衡线处、较低的消融区及冰湖末端处；5）位移监测仪1套（连续GNSS监测），包含4台GNSS接收机，其中，1套GNSS接收机为起算基准点，另外3台为观测点；6）冰川雷达测厚仪1套（便携式），分别在每年消融开始前和消融季末对冰川厚度进行监测；7）冰湖水位水温监测仪4套，多普勒流量监测仪2套；8）围栏、数据传输系统等配套设备。</w:t>
            </w:r>
          </w:p>
          <w:p w14:paraId="4B7F2475">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（2）智慧化管控平台建设工程</w:t>
            </w:r>
          </w:p>
          <w:p w14:paraId="519530B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建设内容包括：建设丁青县冰川监测智能管控平台1套（安装于昌都市生态环境局丁青县分局）以实时监控冰川变化状况。</w:t>
            </w:r>
          </w:p>
        </w:tc>
        <w:tc>
          <w:tcPr>
            <w:tcW w:w="433" w:type="pct"/>
            <w:noWrap w:val="0"/>
            <w:vAlign w:val="center"/>
          </w:tcPr>
          <w:p w14:paraId="6E176FE3">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759016F8">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667812B6">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605.05</w:t>
            </w:r>
          </w:p>
        </w:tc>
        <w:tc>
          <w:tcPr>
            <w:tcW w:w="677" w:type="pct"/>
            <w:noWrap w:val="0"/>
            <w:vAlign w:val="center"/>
          </w:tcPr>
          <w:p w14:paraId="587CCE86">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5044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3" w:type="pct"/>
            <w:noWrap w:val="0"/>
            <w:vAlign w:val="center"/>
          </w:tcPr>
          <w:p w14:paraId="3A51381E">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7C02030A">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水土流失治理</w:t>
            </w:r>
          </w:p>
        </w:tc>
        <w:tc>
          <w:tcPr>
            <w:tcW w:w="684" w:type="pct"/>
            <w:noWrap w:val="0"/>
            <w:vAlign w:val="center"/>
          </w:tcPr>
          <w:p w14:paraId="60F8906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丁青县城区水土保持综合治理项目</w:t>
            </w:r>
          </w:p>
        </w:tc>
        <w:tc>
          <w:tcPr>
            <w:tcW w:w="1715" w:type="pct"/>
            <w:noWrap w:val="0"/>
            <w:vAlign w:val="center"/>
          </w:tcPr>
          <w:p w14:paraId="52A2BB6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治理水土流失面积5714㎡，其中发展水保林70.91㎡，机井4眼、气盾坝2座、管道工程及附属建筑物工程。封育治理5643.09hm²，网围栏长度15.02km；新增工程碑2座，水保宣传碑10块</w:t>
            </w:r>
          </w:p>
        </w:tc>
        <w:tc>
          <w:tcPr>
            <w:tcW w:w="433" w:type="pct"/>
            <w:noWrap w:val="0"/>
            <w:vAlign w:val="center"/>
          </w:tcPr>
          <w:p w14:paraId="1CEBCFA7">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0097B835">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2026-2027</w:t>
            </w:r>
          </w:p>
        </w:tc>
        <w:tc>
          <w:tcPr>
            <w:tcW w:w="487" w:type="pct"/>
            <w:noWrap w:val="0"/>
            <w:vAlign w:val="center"/>
          </w:tcPr>
          <w:p w14:paraId="39E2227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2980</w:t>
            </w:r>
          </w:p>
        </w:tc>
        <w:tc>
          <w:tcPr>
            <w:tcW w:w="677" w:type="pct"/>
            <w:noWrap w:val="0"/>
            <w:vAlign w:val="center"/>
          </w:tcPr>
          <w:p w14:paraId="402988FD">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丁青县“十五五”纲要项目库（与县水利局项目有差距）</w:t>
            </w:r>
          </w:p>
        </w:tc>
      </w:tr>
      <w:tr w14:paraId="5CA0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5613FE2">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588AA91">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71ED2A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丁青县朗通村水土流失治理工程</w:t>
            </w:r>
          </w:p>
        </w:tc>
        <w:tc>
          <w:tcPr>
            <w:tcW w:w="1715" w:type="pct"/>
            <w:noWrap w:val="0"/>
            <w:vAlign w:val="center"/>
          </w:tcPr>
          <w:p w14:paraId="525B05E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开展水土流失治理面积22.5km2。</w:t>
            </w:r>
          </w:p>
        </w:tc>
        <w:tc>
          <w:tcPr>
            <w:tcW w:w="433" w:type="pct"/>
            <w:noWrap w:val="0"/>
            <w:vAlign w:val="center"/>
          </w:tcPr>
          <w:p w14:paraId="39473B5D">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62972601">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2028-2029</w:t>
            </w:r>
          </w:p>
        </w:tc>
        <w:tc>
          <w:tcPr>
            <w:tcW w:w="487" w:type="pct"/>
            <w:noWrap w:val="0"/>
            <w:vAlign w:val="center"/>
          </w:tcPr>
          <w:p w14:paraId="513F35F8">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2500</w:t>
            </w:r>
          </w:p>
        </w:tc>
        <w:tc>
          <w:tcPr>
            <w:tcW w:w="677" w:type="pct"/>
            <w:noWrap w:val="0"/>
            <w:vAlign w:val="center"/>
          </w:tcPr>
          <w:p w14:paraId="78312773">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759C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63" w:type="pct"/>
            <w:noWrap w:val="0"/>
            <w:vAlign w:val="center"/>
          </w:tcPr>
          <w:p w14:paraId="3C72FCB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8615177">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EAC0156">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丁青县色康村水土流失治理工程</w:t>
            </w:r>
          </w:p>
        </w:tc>
        <w:tc>
          <w:tcPr>
            <w:tcW w:w="1715" w:type="pct"/>
            <w:noWrap w:val="0"/>
            <w:vAlign w:val="center"/>
          </w:tcPr>
          <w:p w14:paraId="7AE9B58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开展水土流失治理面积16.5km</w:t>
            </w:r>
            <w:r>
              <w:rPr>
                <w:rFonts w:hint="eastAsia" w:ascii="Times New Roman" w:hAnsi="Times New Roman" w:eastAsia="仿宋_GB2312" w:cs="仿宋"/>
                <w:i w:val="0"/>
                <w:iCs w:val="0"/>
                <w:color w:val="000000"/>
                <w:kern w:val="0"/>
                <w:sz w:val="21"/>
                <w:szCs w:val="21"/>
                <w:u w:val="none"/>
                <w:vertAlign w:val="superscript"/>
                <w:lang w:val="en-US" w:eastAsia="zh-CN" w:bidi="ar"/>
              </w:rPr>
              <w:t>2</w:t>
            </w:r>
            <w:r>
              <w:rPr>
                <w:rFonts w:hint="eastAsia" w:ascii="Times New Roman" w:hAnsi="Times New Roman" w:eastAsia="仿宋_GB2312" w:cs="仿宋"/>
                <w:i w:val="0"/>
                <w:iCs w:val="0"/>
                <w:color w:val="000000"/>
                <w:kern w:val="0"/>
                <w:sz w:val="21"/>
                <w:szCs w:val="21"/>
                <w:u w:val="none"/>
                <w:lang w:val="en-US" w:eastAsia="zh-CN" w:bidi="ar"/>
              </w:rPr>
              <w:t>。</w:t>
            </w:r>
          </w:p>
        </w:tc>
        <w:tc>
          <w:tcPr>
            <w:tcW w:w="433" w:type="pct"/>
            <w:noWrap w:val="0"/>
            <w:vAlign w:val="center"/>
          </w:tcPr>
          <w:p w14:paraId="0DAA7A1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2D90B152">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2028-2029</w:t>
            </w:r>
          </w:p>
        </w:tc>
        <w:tc>
          <w:tcPr>
            <w:tcW w:w="487" w:type="pct"/>
            <w:noWrap w:val="0"/>
            <w:vAlign w:val="center"/>
          </w:tcPr>
          <w:p w14:paraId="1E91FB55">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1700</w:t>
            </w:r>
          </w:p>
        </w:tc>
        <w:tc>
          <w:tcPr>
            <w:tcW w:w="677" w:type="pct"/>
            <w:noWrap w:val="0"/>
            <w:vAlign w:val="center"/>
          </w:tcPr>
          <w:p w14:paraId="5978BA39">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07CD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63" w:type="pct"/>
            <w:noWrap w:val="0"/>
            <w:vAlign w:val="center"/>
          </w:tcPr>
          <w:p w14:paraId="7E14BDF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4B05F19A">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野生动植物保护</w:t>
            </w:r>
          </w:p>
        </w:tc>
        <w:tc>
          <w:tcPr>
            <w:tcW w:w="684" w:type="pct"/>
            <w:noWrap w:val="0"/>
            <w:vAlign w:val="center"/>
          </w:tcPr>
          <w:p w14:paraId="710CC5E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丁青县动植物资源本底调查</w:t>
            </w:r>
          </w:p>
        </w:tc>
        <w:tc>
          <w:tcPr>
            <w:tcW w:w="1715" w:type="pct"/>
            <w:noWrap w:val="0"/>
            <w:vAlign w:val="center"/>
          </w:tcPr>
          <w:p w14:paraId="658E12F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动植物调查</w:t>
            </w:r>
          </w:p>
        </w:tc>
        <w:tc>
          <w:tcPr>
            <w:tcW w:w="433" w:type="pct"/>
            <w:noWrap w:val="0"/>
            <w:vAlign w:val="center"/>
          </w:tcPr>
          <w:p w14:paraId="6815B296">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187449D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highlight w:val="none"/>
                <w:u w:val="none"/>
                <w:lang w:val="en-US" w:eastAsia="zh-CN" w:bidi="ar"/>
              </w:rPr>
            </w:pPr>
            <w:r>
              <w:rPr>
                <w:rFonts w:hint="eastAsia" w:ascii="Times New Roman" w:hAnsi="Times New Roman" w:eastAsia="仿宋_GB2312" w:cs="仿宋"/>
                <w:i w:val="0"/>
                <w:iCs w:val="0"/>
                <w:color w:val="000000"/>
                <w:kern w:val="0"/>
                <w:sz w:val="21"/>
                <w:szCs w:val="21"/>
                <w:highlight w:val="none"/>
                <w:u w:val="none"/>
                <w:lang w:val="en-US" w:eastAsia="zh-CN" w:bidi="ar"/>
              </w:rPr>
              <w:t>2026-2030</w:t>
            </w:r>
          </w:p>
        </w:tc>
        <w:tc>
          <w:tcPr>
            <w:tcW w:w="487" w:type="pct"/>
            <w:noWrap w:val="0"/>
            <w:vAlign w:val="center"/>
          </w:tcPr>
          <w:p w14:paraId="5AE672EA">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1600</w:t>
            </w:r>
          </w:p>
        </w:tc>
        <w:tc>
          <w:tcPr>
            <w:tcW w:w="677" w:type="pct"/>
            <w:noWrap w:val="0"/>
            <w:vAlign w:val="center"/>
          </w:tcPr>
          <w:p w14:paraId="1FE6404B">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县林草局项目库</w:t>
            </w:r>
          </w:p>
        </w:tc>
      </w:tr>
      <w:tr w14:paraId="3B4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D2110FC">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AD0814E">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F281D4D">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丁青县野生动物保护救助站</w:t>
            </w:r>
          </w:p>
        </w:tc>
        <w:tc>
          <w:tcPr>
            <w:tcW w:w="1715" w:type="pct"/>
            <w:noWrap w:val="0"/>
            <w:vAlign w:val="center"/>
          </w:tcPr>
          <w:p w14:paraId="5DC90638">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抗生素，消炎药，手术台和器材，笼舍，饲养员5人，综合楼1栋</w:t>
            </w:r>
          </w:p>
        </w:tc>
        <w:tc>
          <w:tcPr>
            <w:tcW w:w="433" w:type="pct"/>
            <w:noWrap w:val="0"/>
            <w:vAlign w:val="center"/>
          </w:tcPr>
          <w:p w14:paraId="25E7272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w:t>
            </w:r>
          </w:p>
        </w:tc>
        <w:tc>
          <w:tcPr>
            <w:tcW w:w="511" w:type="pct"/>
            <w:noWrap w:val="0"/>
            <w:vAlign w:val="center"/>
          </w:tcPr>
          <w:p w14:paraId="6183DEAC">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highlight w:val="none"/>
                <w:u w:val="none"/>
                <w:lang w:val="en-US" w:eastAsia="zh-CN" w:bidi="ar"/>
              </w:rPr>
            </w:pPr>
            <w:r>
              <w:rPr>
                <w:rFonts w:hint="eastAsia" w:ascii="Times New Roman" w:hAnsi="Times New Roman" w:eastAsia="仿宋_GB2312" w:cs="仿宋"/>
                <w:i w:val="0"/>
                <w:iCs w:val="0"/>
                <w:color w:val="000000"/>
                <w:kern w:val="0"/>
                <w:sz w:val="21"/>
                <w:szCs w:val="21"/>
                <w:highlight w:val="none"/>
                <w:u w:val="none"/>
                <w:lang w:val="en-US" w:eastAsia="zh-CN" w:bidi="ar"/>
              </w:rPr>
              <w:t>2026-2030</w:t>
            </w:r>
          </w:p>
        </w:tc>
        <w:tc>
          <w:tcPr>
            <w:tcW w:w="487" w:type="pct"/>
            <w:noWrap w:val="0"/>
            <w:vAlign w:val="center"/>
          </w:tcPr>
          <w:p w14:paraId="30FCD95C">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2500</w:t>
            </w:r>
          </w:p>
        </w:tc>
        <w:tc>
          <w:tcPr>
            <w:tcW w:w="677" w:type="pct"/>
            <w:noWrap w:val="0"/>
            <w:vAlign w:val="center"/>
          </w:tcPr>
          <w:p w14:paraId="2BF7315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县林草局项目库</w:t>
            </w:r>
          </w:p>
        </w:tc>
      </w:tr>
      <w:tr w14:paraId="0D4D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63" w:type="pct"/>
            <w:noWrap w:val="0"/>
            <w:vAlign w:val="center"/>
          </w:tcPr>
          <w:p w14:paraId="33176A24">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EDF5E00">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7DBD4F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丁青县动物疫病检测实验室建设项目</w:t>
            </w:r>
          </w:p>
        </w:tc>
        <w:tc>
          <w:tcPr>
            <w:tcW w:w="1715" w:type="pct"/>
            <w:noWrap w:val="0"/>
            <w:vAlign w:val="center"/>
          </w:tcPr>
          <w:p w14:paraId="542C35C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改造县级动物疫病预防控制中心实验用房200㎡，配套附属设施及购置仪器设备</w:t>
            </w:r>
          </w:p>
        </w:tc>
        <w:tc>
          <w:tcPr>
            <w:tcW w:w="433" w:type="pct"/>
            <w:noWrap w:val="0"/>
            <w:vAlign w:val="center"/>
          </w:tcPr>
          <w:p w14:paraId="55D7A56F">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09238E2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2494A080">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300</w:t>
            </w:r>
          </w:p>
        </w:tc>
        <w:tc>
          <w:tcPr>
            <w:tcW w:w="677" w:type="pct"/>
            <w:noWrap w:val="0"/>
            <w:vAlign w:val="center"/>
          </w:tcPr>
          <w:p w14:paraId="158F9CA4">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7F31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63" w:type="pct"/>
            <w:noWrap w:val="0"/>
            <w:vAlign w:val="center"/>
          </w:tcPr>
          <w:p w14:paraId="27A5501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5F4B2C10">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1DEB95D">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丁青县动植物保护能力提升工程建设项目</w:t>
            </w:r>
          </w:p>
        </w:tc>
        <w:tc>
          <w:tcPr>
            <w:tcW w:w="1715" w:type="pct"/>
            <w:noWrap w:val="0"/>
            <w:vAlign w:val="center"/>
          </w:tcPr>
          <w:p w14:paraId="7FD6C65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建设村级动物防疫专用设施，建设100座村级动物防疫设施</w:t>
            </w:r>
          </w:p>
        </w:tc>
        <w:tc>
          <w:tcPr>
            <w:tcW w:w="433" w:type="pct"/>
            <w:noWrap w:val="0"/>
            <w:vAlign w:val="center"/>
          </w:tcPr>
          <w:p w14:paraId="7CFA2CB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37E6E07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ign w:val="center"/>
          </w:tcPr>
          <w:p w14:paraId="560C70B2">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400</w:t>
            </w:r>
          </w:p>
        </w:tc>
        <w:tc>
          <w:tcPr>
            <w:tcW w:w="677" w:type="pct"/>
            <w:noWrap w:val="0"/>
            <w:vAlign w:val="center"/>
          </w:tcPr>
          <w:p w14:paraId="7974190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1E9A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8"/>
            <w:noWrap w:val="0"/>
            <w:vAlign w:val="center"/>
          </w:tcPr>
          <w:p w14:paraId="74AE9C75">
            <w:pPr>
              <w:keepNext w:val="0"/>
              <w:keepLines w:val="0"/>
              <w:widowControl/>
              <w:numPr>
                <w:ilvl w:val="0"/>
                <w:numId w:val="0"/>
              </w:numPr>
              <w:suppressLineNumbers w:val="0"/>
              <w:ind w:leftChars="0"/>
              <w:jc w:val="left"/>
              <w:textAlignment w:val="center"/>
              <w:rPr>
                <w:rFonts w:hint="eastAsia" w:ascii="Times New Roman" w:hAnsi="Times New Roman" w:eastAsia="楷体" w:cs="楷体"/>
                <w:b/>
                <w:bCs/>
                <w:i w:val="0"/>
                <w:iCs w:val="0"/>
                <w:color w:val="000000"/>
                <w:sz w:val="21"/>
                <w:szCs w:val="21"/>
                <w:highlight w:val="none"/>
                <w:u w:val="none"/>
              </w:rPr>
            </w:pPr>
            <w:r>
              <w:rPr>
                <w:rFonts w:hint="eastAsia" w:ascii="Times New Roman" w:hAnsi="Times New Roman" w:eastAsia="楷体" w:cs="楷体"/>
                <w:b/>
                <w:bCs/>
                <w:i w:val="0"/>
                <w:iCs w:val="0"/>
                <w:color w:val="000000"/>
                <w:kern w:val="0"/>
                <w:sz w:val="21"/>
                <w:szCs w:val="21"/>
                <w:highlight w:val="none"/>
                <w:u w:val="none"/>
                <w:lang w:val="en-US" w:eastAsia="zh-CN" w:bidi="ar"/>
              </w:rPr>
              <w:t>二、环境质量改善项目</w:t>
            </w:r>
          </w:p>
        </w:tc>
      </w:tr>
      <w:tr w14:paraId="4322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59CF59BD">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19783A48">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大气污染防治</w:t>
            </w:r>
          </w:p>
        </w:tc>
        <w:tc>
          <w:tcPr>
            <w:tcW w:w="684" w:type="pct"/>
            <w:noWrap w:val="0"/>
            <w:vAlign w:val="center"/>
          </w:tcPr>
          <w:p w14:paraId="50F931E6">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挥发性有机物排查</w:t>
            </w:r>
          </w:p>
        </w:tc>
        <w:tc>
          <w:tcPr>
            <w:tcW w:w="1715" w:type="pct"/>
            <w:noWrap w:val="0"/>
            <w:vAlign w:val="center"/>
          </w:tcPr>
          <w:p w14:paraId="1AB275A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开展挥发性有机物治理排查整治。</w:t>
            </w:r>
          </w:p>
        </w:tc>
        <w:tc>
          <w:tcPr>
            <w:tcW w:w="433" w:type="pct"/>
            <w:noWrap w:val="0"/>
            <w:vAlign w:val="center"/>
          </w:tcPr>
          <w:p w14:paraId="3566E1C2">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3C2506BF">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ign w:val="center"/>
          </w:tcPr>
          <w:p w14:paraId="772D011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p>
        </w:tc>
        <w:tc>
          <w:tcPr>
            <w:tcW w:w="677" w:type="pct"/>
            <w:noWrap w:val="0"/>
            <w:vAlign w:val="center"/>
          </w:tcPr>
          <w:p w14:paraId="6C572244">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根据2026年工作要点策划</w:t>
            </w:r>
          </w:p>
        </w:tc>
      </w:tr>
      <w:tr w14:paraId="613D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D404F50">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79DDCC69">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17D796CB">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餐饮油烟治理</w:t>
            </w:r>
          </w:p>
        </w:tc>
        <w:tc>
          <w:tcPr>
            <w:tcW w:w="1715" w:type="pct"/>
            <w:noWrap w:val="0"/>
            <w:vAlign w:val="center"/>
          </w:tcPr>
          <w:p w14:paraId="180469C5">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推进党政机关、医院、学校等公共机构食堂及大型餐饮单位餐饮油烟治理</w:t>
            </w:r>
            <w:r>
              <w:rPr>
                <w:rFonts w:hint="eastAsia" w:ascii="Times New Roman" w:hAnsi="Times New Roman" w:eastAsia="仿宋_GB2312" w:cs="仿宋"/>
                <w:i w:val="0"/>
                <w:iCs w:val="0"/>
                <w:color w:val="000000"/>
                <w:kern w:val="0"/>
                <w:sz w:val="21"/>
                <w:szCs w:val="21"/>
                <w:u w:val="none"/>
                <w:lang w:val="en-US" w:eastAsia="zh-CN" w:bidi="ar"/>
              </w:rPr>
              <w:t>。</w:t>
            </w:r>
          </w:p>
        </w:tc>
        <w:tc>
          <w:tcPr>
            <w:tcW w:w="433" w:type="pct"/>
            <w:noWrap w:val="0"/>
            <w:vAlign w:val="center"/>
          </w:tcPr>
          <w:p w14:paraId="7588A74C">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6A8391BE">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ign w:val="center"/>
          </w:tcPr>
          <w:p w14:paraId="2E240AFF">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p>
        </w:tc>
        <w:tc>
          <w:tcPr>
            <w:tcW w:w="677" w:type="pct"/>
            <w:noWrap w:val="0"/>
            <w:vAlign w:val="center"/>
          </w:tcPr>
          <w:p w14:paraId="2D3DAB5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根据2026年工作要点策划</w:t>
            </w:r>
          </w:p>
        </w:tc>
      </w:tr>
      <w:tr w14:paraId="29CB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091DA0DB">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511EC669">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F5ECC19">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“宁静小区”建设</w:t>
            </w:r>
          </w:p>
        </w:tc>
        <w:tc>
          <w:tcPr>
            <w:tcW w:w="1715" w:type="pct"/>
            <w:noWrap w:val="0"/>
            <w:vAlign w:val="center"/>
          </w:tcPr>
          <w:p w14:paraId="50F5EAA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推动声环境功能区划分方案评估、调整工作。鼓励有条件的小区开展“宁静小区”建设。</w:t>
            </w:r>
          </w:p>
        </w:tc>
        <w:tc>
          <w:tcPr>
            <w:tcW w:w="433" w:type="pct"/>
            <w:noWrap w:val="0"/>
            <w:vAlign w:val="center"/>
          </w:tcPr>
          <w:p w14:paraId="60B21EEC">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0361A998">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ign w:val="center"/>
          </w:tcPr>
          <w:p w14:paraId="15630052">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p>
        </w:tc>
        <w:tc>
          <w:tcPr>
            <w:tcW w:w="677" w:type="pct"/>
            <w:noWrap w:val="0"/>
            <w:vAlign w:val="center"/>
          </w:tcPr>
          <w:p w14:paraId="196D153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根据2026年工作要点策划</w:t>
            </w:r>
          </w:p>
        </w:tc>
      </w:tr>
      <w:tr w14:paraId="6D4F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12697489">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25A4DE7D">
            <w:pPr>
              <w:jc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水污染防治</w:t>
            </w:r>
          </w:p>
        </w:tc>
        <w:tc>
          <w:tcPr>
            <w:tcW w:w="684" w:type="pct"/>
            <w:noWrap w:val="0"/>
            <w:vAlign w:val="center"/>
          </w:tcPr>
          <w:p w14:paraId="34F635E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昌都市丁青县县城污水处理厂二期工程</w:t>
            </w:r>
          </w:p>
        </w:tc>
        <w:tc>
          <w:tcPr>
            <w:tcW w:w="1715" w:type="pct"/>
            <w:noWrap w:val="0"/>
            <w:vAlign w:val="center"/>
          </w:tcPr>
          <w:p w14:paraId="1455A12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原污水处理厂扩容2500m³/d，包括新建生化池、二沉池及污泥泵池、纤维转盘滤池，改造污泥脱水机房、加药间及附属配套的电气、自控和总图等。</w:t>
            </w:r>
          </w:p>
        </w:tc>
        <w:tc>
          <w:tcPr>
            <w:tcW w:w="433" w:type="pct"/>
            <w:noWrap w:val="0"/>
            <w:vAlign w:val="center"/>
          </w:tcPr>
          <w:p w14:paraId="22315CE7">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县住建局</w:t>
            </w:r>
          </w:p>
        </w:tc>
        <w:tc>
          <w:tcPr>
            <w:tcW w:w="511" w:type="pct"/>
            <w:noWrap w:val="0"/>
            <w:vAlign w:val="center"/>
          </w:tcPr>
          <w:p w14:paraId="403F060F">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w:t>
            </w:r>
          </w:p>
        </w:tc>
        <w:tc>
          <w:tcPr>
            <w:tcW w:w="487" w:type="pct"/>
            <w:noWrap/>
            <w:vAlign w:val="center"/>
          </w:tcPr>
          <w:p w14:paraId="772E456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2841</w:t>
            </w:r>
          </w:p>
        </w:tc>
        <w:tc>
          <w:tcPr>
            <w:tcW w:w="677" w:type="pct"/>
            <w:noWrap w:val="0"/>
            <w:vAlign w:val="center"/>
          </w:tcPr>
          <w:p w14:paraId="34302FF5">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3FAA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3C27525B">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26" w:type="pct"/>
            <w:vMerge w:val="continue"/>
            <w:noWrap w:val="0"/>
            <w:vAlign w:val="center"/>
          </w:tcPr>
          <w:p w14:paraId="44C1DE2B">
            <w:pPr>
              <w:jc w:val="center"/>
              <w:rPr>
                <w:rFonts w:hint="eastAsia" w:ascii="Times New Roman" w:hAnsi="Times New Roman" w:eastAsia="仿宋_GB2312" w:cs="仿宋_GB2312"/>
                <w:i w:val="0"/>
                <w:iCs w:val="0"/>
                <w:color w:val="auto"/>
                <w:sz w:val="21"/>
                <w:szCs w:val="21"/>
                <w:highlight w:val="none"/>
                <w:u w:val="none"/>
              </w:rPr>
            </w:pPr>
          </w:p>
        </w:tc>
        <w:tc>
          <w:tcPr>
            <w:tcW w:w="684" w:type="pct"/>
            <w:noWrap w:val="0"/>
            <w:vAlign w:val="center"/>
          </w:tcPr>
          <w:p w14:paraId="73CDA61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昌都市丁青县县城供排水管网更新工程</w:t>
            </w:r>
          </w:p>
        </w:tc>
        <w:tc>
          <w:tcPr>
            <w:tcW w:w="1715" w:type="pct"/>
            <w:noWrap w:val="0"/>
            <w:vAlign w:val="center"/>
          </w:tcPr>
          <w:p w14:paraId="57E262B1">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新建雨水管网3200米，新建雨水检查井15座，新建污水管网7800m新建污水检查井共计120座，道路破除恢复4500平方米，新建提升站2座。</w:t>
            </w:r>
          </w:p>
        </w:tc>
        <w:tc>
          <w:tcPr>
            <w:tcW w:w="433" w:type="pct"/>
            <w:noWrap w:val="0"/>
            <w:vAlign w:val="center"/>
          </w:tcPr>
          <w:p w14:paraId="082FD920">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县住建局</w:t>
            </w:r>
          </w:p>
        </w:tc>
        <w:tc>
          <w:tcPr>
            <w:tcW w:w="511" w:type="pct"/>
            <w:noWrap w:val="0"/>
            <w:vAlign w:val="center"/>
          </w:tcPr>
          <w:p w14:paraId="30EF174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w:t>
            </w:r>
          </w:p>
        </w:tc>
        <w:tc>
          <w:tcPr>
            <w:tcW w:w="487" w:type="pct"/>
            <w:noWrap/>
            <w:vAlign w:val="center"/>
          </w:tcPr>
          <w:p w14:paraId="693CA888">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3040</w:t>
            </w:r>
          </w:p>
        </w:tc>
        <w:tc>
          <w:tcPr>
            <w:tcW w:w="677" w:type="pct"/>
            <w:noWrap w:val="0"/>
            <w:vAlign w:val="center"/>
          </w:tcPr>
          <w:p w14:paraId="2795706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2A69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3" w:type="pct"/>
            <w:noWrap w:val="0"/>
            <w:vAlign w:val="center"/>
          </w:tcPr>
          <w:p w14:paraId="7FEDC90D">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AE9AE9B">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5A97F0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昌都市丁青县老城区雨污分流管网改造工程</w:t>
            </w:r>
          </w:p>
        </w:tc>
        <w:tc>
          <w:tcPr>
            <w:tcW w:w="1715" w:type="pct"/>
            <w:noWrap w:val="0"/>
            <w:vAlign w:val="center"/>
          </w:tcPr>
          <w:p w14:paraId="2DA0B6C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改造雨污分流管网20公里及附属设施等。</w:t>
            </w:r>
          </w:p>
        </w:tc>
        <w:tc>
          <w:tcPr>
            <w:tcW w:w="433" w:type="pct"/>
            <w:noWrap w:val="0"/>
            <w:vAlign w:val="center"/>
          </w:tcPr>
          <w:p w14:paraId="1B76106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县住建局</w:t>
            </w:r>
          </w:p>
        </w:tc>
        <w:tc>
          <w:tcPr>
            <w:tcW w:w="511" w:type="pct"/>
            <w:noWrap w:val="0"/>
            <w:vAlign w:val="center"/>
          </w:tcPr>
          <w:p w14:paraId="6DD7EF5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w:t>
            </w:r>
          </w:p>
        </w:tc>
        <w:tc>
          <w:tcPr>
            <w:tcW w:w="487" w:type="pct"/>
            <w:noWrap/>
            <w:vAlign w:val="center"/>
          </w:tcPr>
          <w:p w14:paraId="02E8844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8500</w:t>
            </w:r>
          </w:p>
        </w:tc>
        <w:tc>
          <w:tcPr>
            <w:tcW w:w="677" w:type="pct"/>
            <w:noWrap w:val="0"/>
            <w:vAlign w:val="center"/>
          </w:tcPr>
          <w:p w14:paraId="4CDEBEEE">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3A38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716467E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7B134E9">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181704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卡龙村等11个村污水处理项目</w:t>
            </w:r>
          </w:p>
        </w:tc>
        <w:tc>
          <w:tcPr>
            <w:tcW w:w="1715" w:type="pct"/>
            <w:noWrap w:val="0"/>
            <w:vAlign w:val="center"/>
          </w:tcPr>
          <w:p w14:paraId="2FBFB96C">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主要建设内容包括新建公共旱厕（30座）、入户管（4000m）、室外管（5000m）、厕所改造数量（30座）、化粪池（30座）、处理设施终端（10套）</w:t>
            </w:r>
          </w:p>
        </w:tc>
        <w:tc>
          <w:tcPr>
            <w:tcW w:w="433" w:type="pct"/>
            <w:noWrap w:val="0"/>
            <w:vAlign w:val="center"/>
          </w:tcPr>
          <w:p w14:paraId="1129DB9E">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2C70A993">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2026-2028</w:t>
            </w:r>
          </w:p>
        </w:tc>
        <w:tc>
          <w:tcPr>
            <w:tcW w:w="487" w:type="pct"/>
            <w:noWrap/>
            <w:vAlign w:val="center"/>
          </w:tcPr>
          <w:p w14:paraId="6CC3A9B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2011</w:t>
            </w:r>
          </w:p>
        </w:tc>
        <w:tc>
          <w:tcPr>
            <w:tcW w:w="677" w:type="pct"/>
            <w:noWrap w:val="0"/>
            <w:vAlign w:val="center"/>
          </w:tcPr>
          <w:p w14:paraId="4E0B79D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1DB1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55F7F27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31EBC71">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4E4E5FF8">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丁青县农村生活污水处理设施建设项目</w:t>
            </w:r>
          </w:p>
        </w:tc>
        <w:tc>
          <w:tcPr>
            <w:tcW w:w="1715" w:type="pct"/>
            <w:noWrap w:val="0"/>
            <w:vAlign w:val="center"/>
          </w:tcPr>
          <w:p w14:paraId="4E6F94C9">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建设11座污水处理厂，覆盖觉恩11个乡镇，并配套污水处理设施及排水管道。</w:t>
            </w:r>
          </w:p>
        </w:tc>
        <w:tc>
          <w:tcPr>
            <w:tcW w:w="433" w:type="pct"/>
            <w:noWrap w:val="0"/>
            <w:vAlign w:val="center"/>
          </w:tcPr>
          <w:p w14:paraId="3391402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63EA6C05">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ign w:val="center"/>
          </w:tcPr>
          <w:p w14:paraId="18AFA02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33000</w:t>
            </w:r>
          </w:p>
        </w:tc>
        <w:tc>
          <w:tcPr>
            <w:tcW w:w="677" w:type="pct"/>
            <w:noWrap w:val="0"/>
            <w:vAlign w:val="center"/>
          </w:tcPr>
          <w:p w14:paraId="20FF9F2E">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1A91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703179D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1C3A9597">
            <w:pPr>
              <w:jc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饮用水源地保护</w:t>
            </w:r>
          </w:p>
        </w:tc>
        <w:tc>
          <w:tcPr>
            <w:tcW w:w="684" w:type="pct"/>
            <w:noWrap w:val="0"/>
            <w:vAlign w:val="center"/>
          </w:tcPr>
          <w:p w14:paraId="58FECF3D">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丁青县水源地保护建设项目</w:t>
            </w:r>
          </w:p>
        </w:tc>
        <w:tc>
          <w:tcPr>
            <w:tcW w:w="1715" w:type="pct"/>
            <w:noWrap w:val="0"/>
            <w:vAlign w:val="center"/>
          </w:tcPr>
          <w:p w14:paraId="3BBC1C40">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本次设计昌都市丁青县水源地保护建设项目位于昌都市丁青县境内，共计涉及13个乡镇共计70个工程点，水源地保护共计351.4亩，其中播撒早熟禾草种3514.0kg，新建网围栏工程14959.0m，配套水源区标识牌71座，水源区界标71座，维修溢流坝1座，维修截潜流坝8座，维修简易八字取水口19座，维修拦砂坝4座，维修沉砂池11座，维修30m³蓄水池1座，取水口上方清淤50m³，原有管理房土方回填5m³。</w:t>
            </w:r>
          </w:p>
        </w:tc>
        <w:tc>
          <w:tcPr>
            <w:tcW w:w="433" w:type="pct"/>
            <w:noWrap w:val="0"/>
            <w:vAlign w:val="center"/>
          </w:tcPr>
          <w:p w14:paraId="3686AE1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3AB48B2D">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2026-2028</w:t>
            </w:r>
          </w:p>
        </w:tc>
        <w:tc>
          <w:tcPr>
            <w:tcW w:w="487" w:type="pct"/>
            <w:noWrap/>
            <w:vAlign w:val="center"/>
          </w:tcPr>
          <w:p w14:paraId="2348AF69">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1429</w:t>
            </w:r>
          </w:p>
        </w:tc>
        <w:tc>
          <w:tcPr>
            <w:tcW w:w="677" w:type="pct"/>
            <w:noWrap w:val="0"/>
            <w:vAlign w:val="center"/>
          </w:tcPr>
          <w:p w14:paraId="23891E20">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4E6B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6CF067F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1BBDCC2">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3B302C7">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昌都市县级及以上水源地保护工程</w:t>
            </w:r>
          </w:p>
        </w:tc>
        <w:tc>
          <w:tcPr>
            <w:tcW w:w="1715" w:type="pct"/>
            <w:noWrap w:val="0"/>
            <w:vAlign w:val="center"/>
          </w:tcPr>
          <w:p w14:paraId="7734197D">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（1）隔离防护工程：建设隔离围网1650M，配套简易大门2座；（2）水源涵养植被恢复工程：水源地保护区水源涵养植被修复5.05公顷；（3）水源地应急防护工程：建设应急池1处。</w:t>
            </w:r>
          </w:p>
        </w:tc>
        <w:tc>
          <w:tcPr>
            <w:tcW w:w="433" w:type="pct"/>
            <w:noWrap w:val="0"/>
            <w:vAlign w:val="center"/>
          </w:tcPr>
          <w:p w14:paraId="47A7BE2B">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545B247B">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p>
        </w:tc>
        <w:tc>
          <w:tcPr>
            <w:tcW w:w="487" w:type="pct"/>
            <w:noWrap w:val="0"/>
            <w:vAlign w:val="center"/>
          </w:tcPr>
          <w:p w14:paraId="22984C50">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527.36</w:t>
            </w:r>
          </w:p>
        </w:tc>
        <w:tc>
          <w:tcPr>
            <w:tcW w:w="677" w:type="pct"/>
            <w:noWrap w:val="0"/>
            <w:vAlign w:val="center"/>
          </w:tcPr>
          <w:p w14:paraId="34230109">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昌都市生态环境局丁青县分局储备项目</w:t>
            </w:r>
          </w:p>
        </w:tc>
      </w:tr>
      <w:tr w14:paraId="5901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26E13772">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3C5098B">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4781810">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丁青县农村水源地保护项目</w:t>
            </w:r>
          </w:p>
        </w:tc>
        <w:tc>
          <w:tcPr>
            <w:tcW w:w="1715" w:type="pct"/>
            <w:noWrap w:val="0"/>
            <w:vAlign w:val="center"/>
          </w:tcPr>
          <w:p w14:paraId="61A28F34">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本项目为丁青县农村水源地保护项目，项目主要建设内容包括新建钢丝拦网（85000m）、铁丝大门（170座）、交通警示牌（170个）、界标（1020个）、保护区标志（170个）、宣传牌（170个）、措施费1项（偏远地区搬运费、二次搬运费等）</w:t>
            </w:r>
          </w:p>
        </w:tc>
        <w:tc>
          <w:tcPr>
            <w:tcW w:w="433" w:type="pct"/>
            <w:noWrap w:val="0"/>
            <w:vAlign w:val="center"/>
          </w:tcPr>
          <w:p w14:paraId="5D1B9C3F">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昌都市生态环境局丁青县分局</w:t>
            </w:r>
          </w:p>
        </w:tc>
        <w:tc>
          <w:tcPr>
            <w:tcW w:w="511" w:type="pct"/>
            <w:noWrap w:val="0"/>
            <w:vAlign w:val="center"/>
          </w:tcPr>
          <w:p w14:paraId="7F073F3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2026-2028</w:t>
            </w:r>
          </w:p>
        </w:tc>
        <w:tc>
          <w:tcPr>
            <w:tcW w:w="487" w:type="pct"/>
            <w:noWrap w:val="0"/>
            <w:vAlign w:val="center"/>
          </w:tcPr>
          <w:p w14:paraId="44F6E9E8">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2468</w:t>
            </w:r>
          </w:p>
        </w:tc>
        <w:tc>
          <w:tcPr>
            <w:tcW w:w="677" w:type="pct"/>
            <w:noWrap w:val="0"/>
            <w:vAlign w:val="center"/>
          </w:tcPr>
          <w:p w14:paraId="58612393">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4393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45D009F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478A2235">
            <w:pPr>
              <w:jc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kern w:val="0"/>
                <w:sz w:val="21"/>
                <w:szCs w:val="21"/>
                <w:highlight w:val="none"/>
                <w:u w:val="none"/>
                <w:lang w:val="en-US" w:eastAsia="zh-CN" w:bidi="ar"/>
              </w:rPr>
              <w:t>水资源开发利用</w:t>
            </w:r>
          </w:p>
        </w:tc>
        <w:tc>
          <w:tcPr>
            <w:tcW w:w="684" w:type="pct"/>
            <w:noWrap w:val="0"/>
            <w:vAlign w:val="center"/>
          </w:tcPr>
          <w:p w14:paraId="6FFCCA07">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丁青县小型农田水利重点县维修工程</w:t>
            </w:r>
          </w:p>
        </w:tc>
        <w:tc>
          <w:tcPr>
            <w:tcW w:w="1715" w:type="pct"/>
            <w:noWrap w:val="0"/>
            <w:vAlign w:val="center"/>
          </w:tcPr>
          <w:p w14:paraId="5B074F1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对2013年以来实施的农田水利重点县项目设施进行维修</w:t>
            </w:r>
          </w:p>
        </w:tc>
        <w:tc>
          <w:tcPr>
            <w:tcW w:w="433" w:type="pct"/>
            <w:noWrap w:val="0"/>
            <w:vAlign w:val="center"/>
          </w:tcPr>
          <w:p w14:paraId="3F4CEAEA">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6E817C1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7E913F3E">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3500</w:t>
            </w:r>
          </w:p>
        </w:tc>
        <w:tc>
          <w:tcPr>
            <w:tcW w:w="677" w:type="pct"/>
            <w:noWrap w:val="0"/>
            <w:vAlign w:val="center"/>
          </w:tcPr>
          <w:p w14:paraId="78F37BEA">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4D3C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28F45107">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17D6748C">
            <w:pPr>
              <w:jc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39DC7BE9">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丁青县觉恩乡金卡灌区工程</w:t>
            </w:r>
          </w:p>
        </w:tc>
        <w:tc>
          <w:tcPr>
            <w:tcW w:w="1715" w:type="pct"/>
            <w:noWrap w:val="0"/>
            <w:vAlign w:val="center"/>
          </w:tcPr>
          <w:p w14:paraId="0A9090F1">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新建取水口1座，新建管道1条，总长度25831米及配套建筑物189座及附属工程</w:t>
            </w:r>
          </w:p>
        </w:tc>
        <w:tc>
          <w:tcPr>
            <w:tcW w:w="433" w:type="pct"/>
            <w:noWrap w:val="0"/>
            <w:vAlign w:val="center"/>
          </w:tcPr>
          <w:p w14:paraId="3D39C46E">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092A7E13">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2026-2027</w:t>
            </w:r>
          </w:p>
        </w:tc>
        <w:tc>
          <w:tcPr>
            <w:tcW w:w="487" w:type="pct"/>
            <w:noWrap w:val="0"/>
            <w:vAlign w:val="center"/>
          </w:tcPr>
          <w:p w14:paraId="19375ABE">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3490</w:t>
            </w:r>
          </w:p>
        </w:tc>
        <w:tc>
          <w:tcPr>
            <w:tcW w:w="677" w:type="pct"/>
            <w:noWrap w:val="0"/>
            <w:vAlign w:val="center"/>
          </w:tcPr>
          <w:p w14:paraId="552D689B">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57C1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5D76786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99EF1BE">
            <w:pPr>
              <w:jc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0A46EA52">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乡镇集中供水工程建设</w:t>
            </w:r>
          </w:p>
        </w:tc>
        <w:tc>
          <w:tcPr>
            <w:tcW w:w="1715" w:type="pct"/>
            <w:noWrap w:val="0"/>
            <w:vAlign w:val="center"/>
          </w:tcPr>
          <w:p w14:paraId="2D9D76DB">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default" w:ascii="Times New Roman" w:hAnsi="Times New Roman" w:eastAsia="仿宋_GB2312" w:cs="仿宋"/>
                <w:i w:val="0"/>
                <w:iCs w:val="0"/>
                <w:color w:val="000000"/>
                <w:kern w:val="0"/>
                <w:sz w:val="21"/>
                <w:szCs w:val="21"/>
                <w:u w:val="none"/>
                <w:lang w:val="en-US" w:eastAsia="zh-CN" w:bidi="ar"/>
              </w:rPr>
              <w:t>丁青县巴达乡</w:t>
            </w:r>
            <w:r>
              <w:rPr>
                <w:rFonts w:hint="eastAsia" w:ascii="Times New Roman" w:hAnsi="Times New Roman" w:eastAsia="仿宋_GB2312" w:cs="仿宋"/>
                <w:i w:val="0"/>
                <w:iCs w:val="0"/>
                <w:color w:val="000000"/>
                <w:kern w:val="0"/>
                <w:sz w:val="21"/>
                <w:szCs w:val="21"/>
                <w:u w:val="none"/>
                <w:lang w:val="en-US" w:eastAsia="zh-CN" w:bidi="ar"/>
              </w:rPr>
              <w:t>、嘎塔乡、色扎乡、尺牍镇、木塔乡、布塔乡、当堆乡、沙贡乡等8个乡镇</w:t>
            </w:r>
            <w:r>
              <w:rPr>
                <w:rFonts w:hint="default" w:ascii="Times New Roman" w:hAnsi="Times New Roman" w:eastAsia="仿宋_GB2312" w:cs="仿宋"/>
                <w:i w:val="0"/>
                <w:iCs w:val="0"/>
                <w:color w:val="000000"/>
                <w:kern w:val="0"/>
                <w:sz w:val="21"/>
                <w:szCs w:val="21"/>
                <w:u w:val="none"/>
                <w:lang w:val="en-US" w:eastAsia="zh-CN" w:bidi="ar"/>
              </w:rPr>
              <w:t>集中供水工程</w:t>
            </w:r>
          </w:p>
        </w:tc>
        <w:tc>
          <w:tcPr>
            <w:tcW w:w="433" w:type="pct"/>
            <w:noWrap w:val="0"/>
            <w:vAlign w:val="center"/>
          </w:tcPr>
          <w:p w14:paraId="2DD955EA">
            <w:pPr>
              <w:keepNext w:val="0"/>
              <w:keepLines w:val="0"/>
              <w:widowControl/>
              <w:suppressLineNumbers w:val="0"/>
              <w:jc w:val="center"/>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县水利局</w:t>
            </w:r>
          </w:p>
        </w:tc>
        <w:tc>
          <w:tcPr>
            <w:tcW w:w="511" w:type="pct"/>
            <w:noWrap w:val="0"/>
            <w:vAlign w:val="center"/>
          </w:tcPr>
          <w:p w14:paraId="71C5EA67">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2026-2029</w:t>
            </w:r>
          </w:p>
        </w:tc>
        <w:tc>
          <w:tcPr>
            <w:tcW w:w="487" w:type="pct"/>
            <w:noWrap w:val="0"/>
            <w:vAlign w:val="center"/>
          </w:tcPr>
          <w:p w14:paraId="4EB5C7E3">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25513</w:t>
            </w:r>
          </w:p>
        </w:tc>
        <w:tc>
          <w:tcPr>
            <w:tcW w:w="677" w:type="pct"/>
            <w:noWrap w:val="0"/>
            <w:vAlign w:val="center"/>
          </w:tcPr>
          <w:p w14:paraId="11251DE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63F0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729C45E1">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75DAFF6F">
            <w:pPr>
              <w:jc w:val="center"/>
              <w:rPr>
                <w:rFonts w:hint="eastAsia" w:ascii="Times New Roman" w:hAnsi="Times New Roman" w:eastAsia="仿宋_GB2312" w:cs="仿宋_GB2312"/>
                <w:i w:val="0"/>
                <w:iCs w:val="0"/>
                <w:color w:val="auto"/>
                <w:sz w:val="21"/>
                <w:szCs w:val="21"/>
                <w:highlight w:val="none"/>
                <w:u w:val="none"/>
              </w:rPr>
            </w:pPr>
          </w:p>
          <w:p w14:paraId="27E9E1C4">
            <w:pPr>
              <w:jc w:val="center"/>
              <w:rPr>
                <w:rFonts w:hint="default" w:ascii="Times New Roman" w:hAnsi="Times New Roman" w:eastAsia="仿宋_GB2312" w:cs="仿宋_GB2312"/>
                <w:i w:val="0"/>
                <w:iCs w:val="0"/>
                <w:color w:val="auto"/>
                <w:sz w:val="21"/>
                <w:szCs w:val="21"/>
                <w:highlight w:val="none"/>
                <w:u w:val="none"/>
                <w:lang w:val="en-US" w:eastAsia="zh-CN"/>
              </w:rPr>
            </w:pPr>
            <w:r>
              <w:rPr>
                <w:rFonts w:hint="eastAsia" w:ascii="Times New Roman" w:hAnsi="Times New Roman" w:eastAsia="仿宋_GB2312" w:cs="仿宋_GB2312"/>
                <w:i w:val="0"/>
                <w:iCs w:val="0"/>
                <w:color w:val="auto"/>
                <w:sz w:val="21"/>
                <w:szCs w:val="21"/>
                <w:highlight w:val="none"/>
                <w:u w:val="none"/>
                <w:lang w:val="en-US" w:eastAsia="zh-CN"/>
              </w:rPr>
              <w:t>土壤地下水污染防治</w:t>
            </w:r>
          </w:p>
        </w:tc>
        <w:tc>
          <w:tcPr>
            <w:tcW w:w="684" w:type="pct"/>
            <w:noWrap w:val="0"/>
            <w:vAlign w:val="center"/>
          </w:tcPr>
          <w:p w14:paraId="74D51AF2">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土壤三普成果及应用</w:t>
            </w:r>
          </w:p>
        </w:tc>
        <w:tc>
          <w:tcPr>
            <w:tcW w:w="1715" w:type="pct"/>
            <w:noWrap w:val="0"/>
            <w:vAlign w:val="center"/>
          </w:tcPr>
          <w:p w14:paraId="7B6A74B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要建设内容：①硬件部分主要为显示大屏、综合应用中心改造、大数据应用展示区配套设备等内容。包括 LED 大屏、服务器、电脑、影音设备、基础改造等。②软件部分主要是数据基础平台、数据资源库、可视化数据展示平台、管理服务、检索服务、运维管理、土壤三普数据一张图等。</w:t>
            </w:r>
          </w:p>
          <w:p w14:paraId="4540B76E">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土壤三普成果：1.完成丁青县第三次全国土壤普查成果，包含数据成果（县级土壤普查基础数据、过程数据、成果数据整理、汇交）、图件成果（县级土壤类型图编制、土壤属性图集及报告编制、土壤农业利用适宜性评价图及报告编制、耕地质量等级图及报告编制、土壤采样点分布图、特色农产品区域分布图编制、土壤障碍因素分布图编制）、文字成果（县级土壤三普技术报告、县级土壤三普数据分析报告编制、土壤志编制）、数据库成果（土壤数据库）。2、建设丁青县土壤三普应用平台，实现三普数据成果综合展示应用。</w:t>
            </w:r>
          </w:p>
        </w:tc>
        <w:tc>
          <w:tcPr>
            <w:tcW w:w="433" w:type="pct"/>
            <w:noWrap w:val="0"/>
            <w:vAlign w:val="center"/>
          </w:tcPr>
          <w:p w14:paraId="0C705BD3">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122FEA06">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6F99DB5B">
            <w:pPr>
              <w:keepNext w:val="0"/>
              <w:keepLines w:val="0"/>
              <w:widowControl/>
              <w:suppressLineNumbers w:val="0"/>
              <w:jc w:val="center"/>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460</w:t>
            </w:r>
          </w:p>
        </w:tc>
        <w:tc>
          <w:tcPr>
            <w:tcW w:w="677" w:type="pct"/>
            <w:noWrap w:val="0"/>
            <w:vAlign w:val="center"/>
          </w:tcPr>
          <w:p w14:paraId="33A96BBE">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丁青县“十五五”纲要项目库</w:t>
            </w:r>
          </w:p>
        </w:tc>
      </w:tr>
      <w:tr w14:paraId="7699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29D0F8A0">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1F0F2A5E">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C7852BE">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丁青县农村人居环境整治项目</w:t>
            </w:r>
          </w:p>
        </w:tc>
        <w:tc>
          <w:tcPr>
            <w:tcW w:w="1715" w:type="pct"/>
            <w:noWrap w:val="0"/>
            <w:vAlign w:val="center"/>
          </w:tcPr>
          <w:p w14:paraId="26F4B7EE">
            <w:pPr>
              <w:keepNext w:val="0"/>
              <w:keepLines w:val="0"/>
              <w:widowControl/>
              <w:suppressLineNumbers w:val="0"/>
              <w:jc w:val="both"/>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改善10个乡（村庄）农村人居环境；主要改善入户道路、改善居住环境，住宿楼屋顶及墙面，改善户用厕所及配套集中污水处理设施，配套其他附属设施等。</w:t>
            </w:r>
          </w:p>
        </w:tc>
        <w:tc>
          <w:tcPr>
            <w:tcW w:w="433" w:type="pct"/>
            <w:noWrap w:val="0"/>
            <w:vAlign w:val="center"/>
          </w:tcPr>
          <w:p w14:paraId="6A124B80">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4F5DF1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4C8A51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15000</w:t>
            </w:r>
          </w:p>
        </w:tc>
        <w:tc>
          <w:tcPr>
            <w:tcW w:w="677" w:type="pct"/>
            <w:noWrap w:val="0"/>
            <w:vAlign w:val="center"/>
          </w:tcPr>
          <w:p w14:paraId="04CF406E">
            <w:pPr>
              <w:jc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sz w:val="21"/>
                <w:szCs w:val="21"/>
                <w:highlight w:val="none"/>
                <w:u w:val="none"/>
                <w:lang w:val="en-US" w:eastAsia="zh-CN"/>
              </w:rPr>
              <w:t>丁青县</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十五五</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纲要项目库</w:t>
            </w:r>
          </w:p>
        </w:tc>
      </w:tr>
      <w:tr w14:paraId="0FA6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63" w:type="pct"/>
            <w:noWrap w:val="0"/>
            <w:vAlign w:val="center"/>
          </w:tcPr>
          <w:p w14:paraId="51DE374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p>
        </w:tc>
        <w:tc>
          <w:tcPr>
            <w:tcW w:w="326" w:type="pct"/>
            <w:vMerge w:val="restart"/>
            <w:noWrap w:val="0"/>
            <w:vAlign w:val="center"/>
          </w:tcPr>
          <w:p w14:paraId="6AE7C682">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kern w:val="0"/>
                <w:sz w:val="21"/>
                <w:szCs w:val="21"/>
                <w:highlight w:val="none"/>
                <w:u w:val="none"/>
                <w:lang w:val="en-US" w:eastAsia="zh-CN" w:bidi="ar"/>
              </w:rPr>
              <w:t>固体废物综合治理</w:t>
            </w:r>
          </w:p>
        </w:tc>
        <w:tc>
          <w:tcPr>
            <w:tcW w:w="684" w:type="pct"/>
            <w:noWrap w:val="0"/>
            <w:vAlign w:val="center"/>
          </w:tcPr>
          <w:p w14:paraId="5E519F3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丁青县垃圾转运站建设项目</w:t>
            </w:r>
          </w:p>
        </w:tc>
        <w:tc>
          <w:tcPr>
            <w:tcW w:w="1715" w:type="pct"/>
            <w:noWrap w:val="0"/>
            <w:vAlign w:val="center"/>
          </w:tcPr>
          <w:p w14:paraId="2119AD5F">
            <w:pPr>
              <w:keepNext w:val="0"/>
              <w:keepLines w:val="0"/>
              <w:widowControl/>
              <w:suppressLineNumbers w:val="0"/>
              <w:jc w:val="left"/>
              <w:textAlignment w:val="center"/>
              <w:rPr>
                <w:rFonts w:hint="eastAsia"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在13个乡镇新建垃圾转运站，并配套相关设施及垃圾转运车辆</w:t>
            </w:r>
          </w:p>
        </w:tc>
        <w:tc>
          <w:tcPr>
            <w:tcW w:w="433" w:type="pct"/>
            <w:noWrap w:val="0"/>
            <w:vAlign w:val="center"/>
          </w:tcPr>
          <w:p w14:paraId="4D5406CA">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县农科局</w:t>
            </w:r>
          </w:p>
        </w:tc>
        <w:tc>
          <w:tcPr>
            <w:tcW w:w="511" w:type="pct"/>
            <w:noWrap w:val="0"/>
            <w:vAlign w:val="center"/>
          </w:tcPr>
          <w:p w14:paraId="4028719D">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1"/>
                <w:szCs w:val="21"/>
                <w:u w:val="none"/>
                <w:lang w:val="en-US" w:eastAsia="zh-CN" w:bidi="ar"/>
              </w:rPr>
            </w:pPr>
            <w:r>
              <w:rPr>
                <w:rFonts w:hint="eastAsia" w:ascii="Times New Roman" w:hAnsi="Times New Roman" w:eastAsia="仿宋_GB2312" w:cs="仿宋"/>
                <w:i w:val="0"/>
                <w:iCs w:val="0"/>
                <w:color w:val="000000"/>
                <w:kern w:val="0"/>
                <w:sz w:val="21"/>
                <w:szCs w:val="21"/>
                <w:u w:val="none"/>
                <w:lang w:val="en-US" w:eastAsia="zh-CN" w:bidi="ar"/>
              </w:rPr>
              <w:t>2026-2030</w:t>
            </w:r>
          </w:p>
        </w:tc>
        <w:tc>
          <w:tcPr>
            <w:tcW w:w="487" w:type="pct"/>
            <w:noWrap w:val="0"/>
            <w:vAlign w:val="center"/>
          </w:tcPr>
          <w:p w14:paraId="337A56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26000</w:t>
            </w:r>
          </w:p>
        </w:tc>
        <w:tc>
          <w:tcPr>
            <w:tcW w:w="677" w:type="pct"/>
            <w:noWrap w:val="0"/>
            <w:vAlign w:val="center"/>
          </w:tcPr>
          <w:p w14:paraId="619D4BDF">
            <w:pPr>
              <w:jc w:val="center"/>
              <w:rPr>
                <w:rFonts w:hint="default" w:ascii="Times New Roman" w:hAnsi="Times New Roman"/>
                <w:highlight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丁青县</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十五五</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纲要项目库</w:t>
            </w:r>
          </w:p>
        </w:tc>
      </w:tr>
      <w:tr w14:paraId="5CC4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63" w:type="pct"/>
            <w:noWrap w:val="0"/>
            <w:vAlign w:val="center"/>
          </w:tcPr>
          <w:p w14:paraId="4FC6EF9D">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0C11CAF">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A17F79E">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rPr>
              <w:t>昌都市丁青县桑多乡</w:t>
            </w:r>
            <w:r>
              <w:rPr>
                <w:rFonts w:hint="eastAsia" w:ascii="Times New Roman" w:hAnsi="Times New Roman" w:eastAsia="仿宋_GB2312" w:cs="仿宋_GB2312"/>
                <w:i w:val="0"/>
                <w:iCs w:val="0"/>
                <w:color w:val="000000"/>
                <w:sz w:val="21"/>
                <w:szCs w:val="21"/>
                <w:highlight w:val="none"/>
                <w:u w:val="none"/>
                <w:lang w:eastAsia="zh-CN"/>
              </w:rPr>
              <w:t>、色扎乡</w:t>
            </w:r>
            <w:r>
              <w:rPr>
                <w:rFonts w:hint="eastAsia" w:ascii="Times New Roman" w:hAnsi="Times New Roman" w:eastAsia="仿宋_GB2312" w:cs="仿宋_GB2312"/>
                <w:i w:val="0"/>
                <w:iCs w:val="0"/>
                <w:color w:val="000000"/>
                <w:sz w:val="21"/>
                <w:szCs w:val="21"/>
                <w:highlight w:val="none"/>
                <w:u w:val="none"/>
              </w:rPr>
              <w:t>垃圾填埋场建设项目</w:t>
            </w:r>
          </w:p>
        </w:tc>
        <w:tc>
          <w:tcPr>
            <w:tcW w:w="1715" w:type="pct"/>
            <w:noWrap w:val="0"/>
            <w:vAlign w:val="center"/>
          </w:tcPr>
          <w:p w14:paraId="0B02938E">
            <w:pPr>
              <w:keepNext w:val="0"/>
              <w:keepLines w:val="0"/>
              <w:widowControl/>
              <w:suppressLineNumbers w:val="0"/>
              <w:jc w:val="left"/>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桑多乡垃圾填埋场：新建15t/d日处理规模垃圾填埋场1座，库容约17.5万m³，占地面积约1.56万㎡；</w:t>
            </w:r>
          </w:p>
          <w:p w14:paraId="58C920FD">
            <w:pPr>
              <w:keepNext w:val="0"/>
              <w:keepLines w:val="0"/>
              <w:widowControl/>
              <w:suppressLineNumbers w:val="0"/>
              <w:jc w:val="left"/>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色扎乡垃圾填埋场：新建12t/d日处理规模垃圾填埋场1座，库容约22.5万m³，占地面积约1.84万㎡。</w:t>
            </w:r>
          </w:p>
        </w:tc>
        <w:tc>
          <w:tcPr>
            <w:tcW w:w="433" w:type="pct"/>
            <w:noWrap w:val="0"/>
            <w:vAlign w:val="center"/>
          </w:tcPr>
          <w:p w14:paraId="6B3E3A7C">
            <w:pPr>
              <w:keepNext w:val="0"/>
              <w:keepLines w:val="0"/>
              <w:widowControl/>
              <w:suppressLineNumbers w:val="0"/>
              <w:jc w:val="both"/>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县住建局</w:t>
            </w:r>
          </w:p>
        </w:tc>
        <w:tc>
          <w:tcPr>
            <w:tcW w:w="511" w:type="pct"/>
            <w:noWrap w:val="0"/>
            <w:vAlign w:val="center"/>
          </w:tcPr>
          <w:p w14:paraId="3768A0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2028</w:t>
            </w:r>
          </w:p>
        </w:tc>
        <w:tc>
          <w:tcPr>
            <w:tcW w:w="487" w:type="pct"/>
            <w:noWrap w:val="0"/>
            <w:vAlign w:val="center"/>
          </w:tcPr>
          <w:p w14:paraId="6DFA45D1">
            <w:pPr>
              <w:keepNext w:val="0"/>
              <w:keepLines w:val="0"/>
              <w:widowControl/>
              <w:suppressLineNumbers w:val="0"/>
              <w:jc w:val="both"/>
              <w:textAlignment w:val="center"/>
              <w:rPr>
                <w:rFonts w:hint="default" w:ascii="Times New Roman" w:hAnsi="Times New Roman" w:eastAsia="仿宋_GB2312" w:cs="仿宋_GB2312"/>
                <w:i w:val="0"/>
                <w:iCs w:val="0"/>
                <w:color w:val="000000"/>
                <w:kern w:val="2"/>
                <w:sz w:val="21"/>
                <w:szCs w:val="21"/>
                <w:highlight w:val="none"/>
                <w:u w:val="none"/>
                <w:lang w:val="en-US" w:eastAsia="zh-CN" w:bidi="ar-SA"/>
              </w:rPr>
            </w:pPr>
            <w:r>
              <w:rPr>
                <w:rFonts w:hint="eastAsia" w:ascii="Times New Roman" w:hAnsi="Times New Roman" w:eastAsia="仿宋_GB2312" w:cs="仿宋_GB2312"/>
                <w:i w:val="0"/>
                <w:iCs w:val="0"/>
                <w:color w:val="000000"/>
                <w:sz w:val="21"/>
                <w:szCs w:val="21"/>
                <w:highlight w:val="none"/>
                <w:u w:val="none"/>
                <w:lang w:val="en-US" w:eastAsia="zh-CN"/>
              </w:rPr>
              <w:t>3960</w:t>
            </w:r>
          </w:p>
        </w:tc>
        <w:tc>
          <w:tcPr>
            <w:tcW w:w="677" w:type="pct"/>
            <w:noWrap w:val="0"/>
            <w:vAlign w:val="center"/>
          </w:tcPr>
          <w:p w14:paraId="3DAB6900">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lang w:val="en-US" w:eastAsia="zh-CN"/>
              </w:rPr>
              <w:t>丁青县</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十五五</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纲要项目库</w:t>
            </w:r>
          </w:p>
        </w:tc>
      </w:tr>
      <w:tr w14:paraId="7CE0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63" w:type="pct"/>
            <w:noWrap w:val="0"/>
            <w:vAlign w:val="center"/>
          </w:tcPr>
          <w:p w14:paraId="5371A7A4">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7A18C53C">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B4BFC52">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昌都市丁青县建筑垃圾处理场工程</w:t>
            </w:r>
          </w:p>
        </w:tc>
        <w:tc>
          <w:tcPr>
            <w:tcW w:w="1715" w:type="pct"/>
            <w:noWrap w:val="0"/>
            <w:vAlign w:val="center"/>
          </w:tcPr>
          <w:p w14:paraId="5DF4B509">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eastAsia="zh-CN" w:bidi="ar"/>
              </w:rPr>
            </w:pPr>
            <w:r>
              <w:rPr>
                <w:rFonts w:hint="eastAsia" w:ascii="Times New Roman" w:hAnsi="Times New Roman" w:eastAsia="仿宋_GB2312" w:cs="仿宋_GB2312"/>
                <w:color w:val="000000"/>
                <w:kern w:val="0"/>
                <w:szCs w:val="21"/>
                <w:highlight w:val="none"/>
                <w:lang w:eastAsia="zh-CN" w:bidi="ar"/>
              </w:rPr>
              <w:t>新建建筑垃圾处理场一座，日处理50吨，总库容45万立方米，设备购置及附属工程等。</w:t>
            </w:r>
          </w:p>
        </w:tc>
        <w:tc>
          <w:tcPr>
            <w:tcW w:w="433" w:type="pct"/>
            <w:noWrap w:val="0"/>
            <w:vAlign w:val="center"/>
          </w:tcPr>
          <w:p w14:paraId="589D04BE">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sz w:val="21"/>
                <w:szCs w:val="21"/>
                <w:highlight w:val="none"/>
                <w:u w:val="none"/>
                <w:lang w:val="en-US" w:eastAsia="zh-CN"/>
              </w:rPr>
              <w:t>县住建局</w:t>
            </w:r>
          </w:p>
        </w:tc>
        <w:tc>
          <w:tcPr>
            <w:tcW w:w="511" w:type="pct"/>
            <w:noWrap w:val="0"/>
            <w:vAlign w:val="center"/>
          </w:tcPr>
          <w:p w14:paraId="0ABD2C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2027-2028</w:t>
            </w:r>
          </w:p>
        </w:tc>
        <w:tc>
          <w:tcPr>
            <w:tcW w:w="487" w:type="pct"/>
            <w:noWrap w:val="0"/>
            <w:vAlign w:val="center"/>
          </w:tcPr>
          <w:p w14:paraId="7AE77E82">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4500</w:t>
            </w:r>
          </w:p>
        </w:tc>
        <w:tc>
          <w:tcPr>
            <w:tcW w:w="677" w:type="pct"/>
            <w:noWrap w:val="0"/>
            <w:vAlign w:val="center"/>
          </w:tcPr>
          <w:p w14:paraId="7BB3BAD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u w:val="none"/>
                <w:lang w:bidi="ar"/>
              </w:rPr>
            </w:pPr>
            <w:r>
              <w:rPr>
                <w:rFonts w:hint="eastAsia" w:ascii="Times New Roman" w:hAnsi="Times New Roman" w:eastAsia="仿宋_GB2312" w:cs="仿宋_GB2312"/>
                <w:i w:val="0"/>
                <w:iCs w:val="0"/>
                <w:color w:val="000000"/>
                <w:sz w:val="21"/>
                <w:szCs w:val="21"/>
                <w:highlight w:val="none"/>
                <w:u w:val="none"/>
                <w:lang w:val="en-US" w:eastAsia="zh-CN"/>
              </w:rPr>
              <w:t>丁青县</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十五五</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纲要项目库</w:t>
            </w:r>
          </w:p>
        </w:tc>
      </w:tr>
      <w:tr w14:paraId="052C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63" w:type="pct"/>
            <w:noWrap w:val="0"/>
            <w:vAlign w:val="center"/>
          </w:tcPr>
          <w:p w14:paraId="19B360F4">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798D7935">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4AEB8FA2">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丁青县建筑垃圾资源化利用项目</w:t>
            </w:r>
          </w:p>
        </w:tc>
        <w:tc>
          <w:tcPr>
            <w:tcW w:w="1715" w:type="pct"/>
            <w:noWrap w:val="0"/>
            <w:vAlign w:val="center"/>
          </w:tcPr>
          <w:p w14:paraId="45364E16">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eastAsia="zh-CN" w:bidi="ar"/>
              </w:rPr>
            </w:pPr>
            <w:r>
              <w:rPr>
                <w:rFonts w:hint="eastAsia" w:ascii="Times New Roman" w:hAnsi="Times New Roman" w:eastAsia="仿宋_GB2312" w:cs="仿宋_GB2312"/>
                <w:color w:val="000000"/>
                <w:kern w:val="0"/>
                <w:szCs w:val="21"/>
                <w:highlight w:val="none"/>
                <w:lang w:eastAsia="zh-CN" w:bidi="ar"/>
              </w:rPr>
              <w:t>依托现有制砖企业等建材加工厂设施，对工程垃圾、拆除垃圾进行消纳和处理，开发建筑垃圾再生产品。</w:t>
            </w:r>
          </w:p>
        </w:tc>
        <w:tc>
          <w:tcPr>
            <w:tcW w:w="433" w:type="pct"/>
            <w:noWrap w:val="0"/>
            <w:vAlign w:val="center"/>
          </w:tcPr>
          <w:p w14:paraId="5D188527">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Times New Roman"/>
                <w:snapToGrid w:val="0"/>
                <w:color w:val="auto"/>
                <w:highlight w:val="none"/>
                <w:lang w:eastAsia="zh-CN" w:bidi="ar"/>
              </w:rPr>
              <w:t>县住建局</w:t>
            </w:r>
          </w:p>
        </w:tc>
        <w:tc>
          <w:tcPr>
            <w:tcW w:w="511" w:type="pct"/>
            <w:noWrap w:val="0"/>
            <w:vAlign w:val="center"/>
          </w:tcPr>
          <w:p w14:paraId="1A1FF8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2026-2027</w:t>
            </w:r>
          </w:p>
        </w:tc>
        <w:tc>
          <w:tcPr>
            <w:tcW w:w="487" w:type="pct"/>
            <w:noWrap w:val="0"/>
            <w:vAlign w:val="center"/>
          </w:tcPr>
          <w:p w14:paraId="027B459F">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20</w:t>
            </w:r>
          </w:p>
        </w:tc>
        <w:tc>
          <w:tcPr>
            <w:tcW w:w="677" w:type="pct"/>
            <w:noWrap w:val="0"/>
            <w:vAlign w:val="center"/>
          </w:tcPr>
          <w:p w14:paraId="5E183BAF">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县“无废城市”建设项目库</w:t>
            </w:r>
          </w:p>
        </w:tc>
      </w:tr>
      <w:tr w14:paraId="2F02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3" w:type="pct"/>
            <w:noWrap w:val="0"/>
            <w:vAlign w:val="center"/>
          </w:tcPr>
          <w:p w14:paraId="4618C80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43932D27">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0A82CD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丁青县利用农林牧废弃物栽培食用菌及菌糠再利用项目</w:t>
            </w:r>
          </w:p>
        </w:tc>
        <w:tc>
          <w:tcPr>
            <w:tcW w:w="1715" w:type="pct"/>
            <w:noWrap w:val="0"/>
            <w:vAlign w:val="center"/>
          </w:tcPr>
          <w:p w14:paraId="2D11C12E">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500平方米菌包加工厂建设菌种生产厂房（筛料拌料室，灭菌室、冷却室、接种室、养菌室、菌种冷藏贮藏室），200平方米养菌室和500平方米恒温全自动出菇工厂厂房（建设和相关配套设备设施，购入菌种检测设备、增加菌种生产线、产品检测设备），新建20座温室大棚</w:t>
            </w:r>
          </w:p>
        </w:tc>
        <w:tc>
          <w:tcPr>
            <w:tcW w:w="433" w:type="pct"/>
            <w:noWrap w:val="0"/>
            <w:vAlign w:val="center"/>
          </w:tcPr>
          <w:p w14:paraId="07937829">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06882313">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61C508B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1500 </w:t>
            </w:r>
          </w:p>
        </w:tc>
        <w:tc>
          <w:tcPr>
            <w:tcW w:w="677" w:type="pct"/>
            <w:noWrap w:val="0"/>
            <w:vAlign w:val="center"/>
          </w:tcPr>
          <w:p w14:paraId="4C858CF3">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06AD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3" w:type="pct"/>
            <w:noWrap w:val="0"/>
            <w:vAlign w:val="center"/>
          </w:tcPr>
          <w:p w14:paraId="7A537EA4">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625F95BD">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1A4D4D8B">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丁青县农牧业废弃物资源化利用无害化处理示范项目</w:t>
            </w:r>
          </w:p>
        </w:tc>
        <w:tc>
          <w:tcPr>
            <w:tcW w:w="1715" w:type="pct"/>
            <w:noWrap w:val="0"/>
            <w:vAlign w:val="center"/>
          </w:tcPr>
          <w:p w14:paraId="2F8D5A3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对我县13个乡镇的牦牛育肥基地和畜禽养殖场进行畜禽粪污资源化利用，完善畜禽粪污和秸秆综合利用、病死畜禽无害化处理，主要包括设施完善、设备采购。</w:t>
            </w:r>
          </w:p>
        </w:tc>
        <w:tc>
          <w:tcPr>
            <w:tcW w:w="433" w:type="pct"/>
            <w:noWrap w:val="0"/>
            <w:vAlign w:val="center"/>
          </w:tcPr>
          <w:p w14:paraId="1DA6ADA1">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2152EDF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65E0E47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6500 </w:t>
            </w:r>
          </w:p>
        </w:tc>
        <w:tc>
          <w:tcPr>
            <w:tcW w:w="677" w:type="pct"/>
            <w:noWrap w:val="0"/>
            <w:vAlign w:val="center"/>
          </w:tcPr>
          <w:p w14:paraId="159DD7BB">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71EE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3" w:type="pct"/>
            <w:noWrap w:val="0"/>
            <w:vAlign w:val="center"/>
          </w:tcPr>
          <w:p w14:paraId="149747C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392E86A1">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333A1AE8">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丁青县布塔乡牦牛养殖基地废弃物资源化利用无害化处理建设项目</w:t>
            </w:r>
          </w:p>
        </w:tc>
        <w:tc>
          <w:tcPr>
            <w:tcW w:w="1715" w:type="pct"/>
            <w:noWrap w:val="0"/>
            <w:vAlign w:val="center"/>
          </w:tcPr>
          <w:p w14:paraId="3327A7D0">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推进畜禽粪污资源化利用，完善畜禽粪污利用、病死畜禽无害化处理，探索农牧业废弃物资源化利用模式</w:t>
            </w:r>
          </w:p>
        </w:tc>
        <w:tc>
          <w:tcPr>
            <w:tcW w:w="433" w:type="pct"/>
            <w:noWrap w:val="0"/>
            <w:vAlign w:val="center"/>
          </w:tcPr>
          <w:p w14:paraId="2EE3E41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0C828E9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1BD7DCC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500 </w:t>
            </w:r>
          </w:p>
        </w:tc>
        <w:tc>
          <w:tcPr>
            <w:tcW w:w="677" w:type="pct"/>
            <w:noWrap w:val="0"/>
            <w:vAlign w:val="center"/>
          </w:tcPr>
          <w:p w14:paraId="5A8053C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21A0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3" w:type="pct"/>
            <w:noWrap w:val="0"/>
            <w:vAlign w:val="center"/>
          </w:tcPr>
          <w:p w14:paraId="798BC777">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3F87DAFD">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EFE789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丁青县丁青镇藏香猪养殖场废弃物资源化利用无害化处理建设</w:t>
            </w:r>
          </w:p>
        </w:tc>
        <w:tc>
          <w:tcPr>
            <w:tcW w:w="1715" w:type="pct"/>
            <w:noWrap w:val="0"/>
            <w:vAlign w:val="center"/>
          </w:tcPr>
          <w:p w14:paraId="04E6E7E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推进畜禽粪污资源化利用，完善畜禽粪污利用、病死畜禽无害化处理，探索农牧业废弃物资源化利用模式</w:t>
            </w:r>
          </w:p>
        </w:tc>
        <w:tc>
          <w:tcPr>
            <w:tcW w:w="433" w:type="pct"/>
            <w:noWrap w:val="0"/>
            <w:vAlign w:val="center"/>
          </w:tcPr>
          <w:p w14:paraId="324EBAC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431C265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23392988">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400 </w:t>
            </w:r>
          </w:p>
        </w:tc>
        <w:tc>
          <w:tcPr>
            <w:tcW w:w="677" w:type="pct"/>
            <w:noWrap w:val="0"/>
            <w:vAlign w:val="center"/>
          </w:tcPr>
          <w:p w14:paraId="69CC0FB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6C4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3" w:type="pct"/>
            <w:noWrap w:val="0"/>
            <w:vAlign w:val="center"/>
          </w:tcPr>
          <w:p w14:paraId="7DA4CD1B">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26" w:type="pct"/>
            <w:vMerge w:val="continue"/>
            <w:noWrap w:val="0"/>
            <w:vAlign w:val="center"/>
          </w:tcPr>
          <w:p w14:paraId="0A101971">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CB9FF4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丁青县病死动物无害化处理设施建设</w:t>
            </w:r>
          </w:p>
        </w:tc>
        <w:tc>
          <w:tcPr>
            <w:tcW w:w="1715" w:type="pct"/>
            <w:noWrap w:val="0"/>
            <w:vAlign w:val="center"/>
          </w:tcPr>
          <w:p w14:paraId="45D05B3A">
            <w:pPr>
              <w:keepNext w:val="0"/>
              <w:keepLines w:val="0"/>
              <w:widowControl/>
              <w:suppressLineNumbers w:val="0"/>
              <w:jc w:val="both"/>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建设购置病死动物提升装载、冷藏、处理设施设备，转运车辆、环境冲洗消毒设施设备、废弃废水收集处理等环保设施。</w:t>
            </w:r>
          </w:p>
        </w:tc>
        <w:tc>
          <w:tcPr>
            <w:tcW w:w="433" w:type="pct"/>
            <w:noWrap w:val="0"/>
            <w:vAlign w:val="center"/>
          </w:tcPr>
          <w:p w14:paraId="574CBEB9">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县农科局</w:t>
            </w:r>
          </w:p>
        </w:tc>
        <w:tc>
          <w:tcPr>
            <w:tcW w:w="511" w:type="pct"/>
            <w:noWrap w:val="0"/>
            <w:vAlign w:val="center"/>
          </w:tcPr>
          <w:p w14:paraId="2FE78A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2026-2030</w:t>
            </w:r>
          </w:p>
        </w:tc>
        <w:tc>
          <w:tcPr>
            <w:tcW w:w="487" w:type="pct"/>
            <w:noWrap w:val="0"/>
            <w:vAlign w:val="center"/>
          </w:tcPr>
          <w:p w14:paraId="45396D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800</w:t>
            </w:r>
          </w:p>
        </w:tc>
        <w:tc>
          <w:tcPr>
            <w:tcW w:w="677" w:type="pct"/>
            <w:noWrap w:val="0"/>
            <w:vAlign w:val="center"/>
          </w:tcPr>
          <w:p w14:paraId="30E832A0">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u w:val="none"/>
                <w:lang w:bidi="ar"/>
              </w:rPr>
            </w:pPr>
            <w:r>
              <w:rPr>
                <w:rFonts w:hint="eastAsia" w:ascii="Times New Roman" w:hAnsi="Times New Roman" w:eastAsia="仿宋_GB2312" w:cs="仿宋_GB2312"/>
                <w:i w:val="0"/>
                <w:iCs w:val="0"/>
                <w:color w:val="000000"/>
                <w:sz w:val="21"/>
                <w:szCs w:val="21"/>
                <w:highlight w:val="none"/>
                <w:u w:val="none"/>
                <w:lang w:val="en-US" w:eastAsia="zh-CN"/>
              </w:rPr>
              <w:t>丁青县</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十五五</w:t>
            </w:r>
            <w:r>
              <w:rPr>
                <w:rFonts w:hint="eastAsia" w:ascii="Times New Roman" w:hAnsi="Times New Roman" w:eastAsia="仿宋_GB2312" w:cs="仿宋_GB2312"/>
                <w:i w:val="0"/>
                <w:iCs w:val="0"/>
                <w:color w:val="000000"/>
                <w:sz w:val="21"/>
                <w:szCs w:val="21"/>
                <w:highlight w:val="none"/>
                <w:u w:val="none"/>
                <w:lang w:eastAsia="zh-CN"/>
              </w:rPr>
              <w:t>”</w:t>
            </w:r>
            <w:r>
              <w:rPr>
                <w:rFonts w:hint="eastAsia" w:ascii="Times New Roman" w:hAnsi="Times New Roman" w:eastAsia="仿宋_GB2312" w:cs="仿宋_GB2312"/>
                <w:i w:val="0"/>
                <w:iCs w:val="0"/>
                <w:color w:val="000000"/>
                <w:sz w:val="21"/>
                <w:szCs w:val="21"/>
                <w:highlight w:val="none"/>
                <w:u w:val="none"/>
                <w:lang w:val="en-US" w:eastAsia="zh-CN"/>
              </w:rPr>
              <w:t>纲要项目库</w:t>
            </w:r>
          </w:p>
        </w:tc>
      </w:tr>
      <w:tr w14:paraId="6640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8"/>
            <w:noWrap w:val="0"/>
            <w:vAlign w:val="center"/>
          </w:tcPr>
          <w:p w14:paraId="38571C55">
            <w:pPr>
              <w:keepNext w:val="0"/>
              <w:keepLines w:val="0"/>
              <w:widowControl/>
              <w:numPr>
                <w:ilvl w:val="0"/>
                <w:numId w:val="0"/>
              </w:numPr>
              <w:suppressLineNumbers w:val="0"/>
              <w:ind w:leftChars="0"/>
              <w:jc w:val="left"/>
              <w:textAlignment w:val="center"/>
              <w:rPr>
                <w:rFonts w:hint="eastAsia" w:ascii="Times New Roman" w:hAnsi="Times New Roman" w:eastAsia="楷体" w:cs="楷体"/>
                <w:b/>
                <w:bCs/>
                <w:i w:val="0"/>
                <w:iCs w:val="0"/>
                <w:color w:val="000000"/>
                <w:sz w:val="21"/>
                <w:szCs w:val="21"/>
                <w:highlight w:val="none"/>
                <w:u w:val="none"/>
              </w:rPr>
            </w:pPr>
            <w:r>
              <w:rPr>
                <w:rFonts w:hint="eastAsia" w:ascii="Times New Roman" w:hAnsi="Times New Roman" w:eastAsia="楷体" w:cs="楷体"/>
                <w:b/>
                <w:bCs/>
                <w:i w:val="0"/>
                <w:iCs w:val="0"/>
                <w:color w:val="000000"/>
                <w:kern w:val="0"/>
                <w:sz w:val="21"/>
                <w:szCs w:val="21"/>
                <w:highlight w:val="none"/>
                <w:u w:val="none"/>
                <w:lang w:val="en-US" w:eastAsia="zh-CN" w:bidi="ar"/>
              </w:rPr>
              <w:t>三、绿色低碳发展项目</w:t>
            </w:r>
          </w:p>
        </w:tc>
      </w:tr>
      <w:tr w14:paraId="20CB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63" w:type="pct"/>
            <w:noWrap w:val="0"/>
            <w:vAlign w:val="center"/>
          </w:tcPr>
          <w:p w14:paraId="13E1D170">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30349A42">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生态旅游发展项目</w:t>
            </w:r>
          </w:p>
        </w:tc>
        <w:tc>
          <w:tcPr>
            <w:tcW w:w="684" w:type="pct"/>
            <w:noWrap w:val="0"/>
            <w:vAlign w:val="center"/>
          </w:tcPr>
          <w:p w14:paraId="7CC25748">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rPr>
              <w:t>丁青县国道317K1376-K1377“心想事成”旅游祈福观光项目建设工程</w:t>
            </w:r>
          </w:p>
          <w:p w14:paraId="1C0209D3">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1715" w:type="pct"/>
            <w:noWrap w:val="0"/>
            <w:vAlign w:val="center"/>
          </w:tcPr>
          <w:p w14:paraId="5D4AEF32">
            <w:pPr>
              <w:keepNext w:val="0"/>
              <w:keepLines w:val="0"/>
              <w:widowControl/>
              <w:suppressLineNumbers w:val="0"/>
              <w:jc w:val="both"/>
              <w:textAlignment w:val="center"/>
              <w:rPr>
                <w:rFonts w:hint="eastAsia"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生态车位（K1376 10辆，K1377 30辆），500米护栏，生产道路连接设施2处（50米和30米吊桥），现状1处危桥修缮（30米*5米），新建I类旅游公厕20平方米，2000平方米道路碎石修缮，增加扶贫助农农产品销售点2处20平方米，山体修筑旅游宣传标识。配套附属设施工程。</w:t>
            </w:r>
          </w:p>
        </w:tc>
        <w:tc>
          <w:tcPr>
            <w:tcW w:w="433" w:type="pct"/>
            <w:noWrap w:val="0"/>
            <w:vAlign w:val="center"/>
          </w:tcPr>
          <w:p w14:paraId="46DBD077">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lang w:val="en-US" w:eastAsia="zh-CN"/>
              </w:rPr>
              <w:t>县文旅局</w:t>
            </w:r>
          </w:p>
        </w:tc>
        <w:tc>
          <w:tcPr>
            <w:tcW w:w="511" w:type="pct"/>
            <w:noWrap w:val="0"/>
            <w:vAlign w:val="center"/>
          </w:tcPr>
          <w:p w14:paraId="68519F58">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lang w:val="en-US" w:eastAsia="zh-CN"/>
              </w:rPr>
              <w:t>2026-2030</w:t>
            </w:r>
          </w:p>
        </w:tc>
        <w:tc>
          <w:tcPr>
            <w:tcW w:w="487" w:type="pct"/>
            <w:noWrap w:val="0"/>
            <w:vAlign w:val="center"/>
          </w:tcPr>
          <w:p w14:paraId="533C8145">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641</w:t>
            </w:r>
          </w:p>
        </w:tc>
        <w:tc>
          <w:tcPr>
            <w:tcW w:w="677" w:type="pct"/>
            <w:noWrap w:val="0"/>
            <w:vAlign w:val="center"/>
          </w:tcPr>
          <w:p w14:paraId="5CD69F86">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4DE1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63" w:type="pct"/>
            <w:noWrap w:val="0"/>
            <w:vAlign w:val="center"/>
          </w:tcPr>
          <w:p w14:paraId="1063A40A">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F864F30">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0F5A664D">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rPr>
              <w:t>丁青卡历史文化村落风貌整治提升工程</w:t>
            </w:r>
          </w:p>
        </w:tc>
        <w:tc>
          <w:tcPr>
            <w:tcW w:w="1715" w:type="pct"/>
            <w:noWrap w:val="0"/>
            <w:vAlign w:val="center"/>
          </w:tcPr>
          <w:p w14:paraId="17F25A62">
            <w:pPr>
              <w:keepNext w:val="0"/>
              <w:keepLines w:val="0"/>
              <w:widowControl/>
              <w:suppressLineNumbers w:val="0"/>
              <w:jc w:val="left"/>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default" w:ascii="Times New Roman" w:hAnsi="Times New Roman" w:eastAsia="仿宋_GB2312" w:cs="仿宋_GB2312"/>
                <w:i w:val="0"/>
                <w:iCs w:val="0"/>
                <w:color w:val="000000"/>
                <w:sz w:val="21"/>
                <w:szCs w:val="21"/>
                <w:highlight w:val="none"/>
                <w:u w:val="none"/>
                <w:lang w:val="en-US" w:eastAsia="zh-CN"/>
              </w:rPr>
              <w:t>丁青卡入口增加景观石1处，入口大门1座，绿化1000㎡，丁青卡自然村89栋民宅院墙改造约15000米长2米高、外立面改造36000平方米，丁青卡以农业种植油菜、青稞、藏药材</w:t>
            </w:r>
            <w:r>
              <w:rPr>
                <w:rFonts w:hint="eastAsia" w:ascii="Times New Roman" w:hAnsi="Times New Roman" w:eastAsia="仿宋_GB2312" w:cs="仿宋_GB2312"/>
                <w:i w:val="0"/>
                <w:iCs w:val="0"/>
                <w:color w:val="000000"/>
                <w:sz w:val="21"/>
                <w:szCs w:val="21"/>
                <w:highlight w:val="none"/>
                <w:u w:val="none"/>
                <w:lang w:val="en-US" w:eastAsia="zh-CN"/>
              </w:rPr>
              <w:t>为</w:t>
            </w:r>
            <w:r>
              <w:rPr>
                <w:rFonts w:hint="default" w:ascii="Times New Roman" w:hAnsi="Times New Roman" w:eastAsia="仿宋_GB2312" w:cs="仿宋_GB2312"/>
                <w:i w:val="0"/>
                <w:iCs w:val="0"/>
                <w:color w:val="000000"/>
                <w:sz w:val="21"/>
                <w:szCs w:val="21"/>
                <w:highlight w:val="none"/>
                <w:u w:val="none"/>
                <w:lang w:val="en-US" w:eastAsia="zh-CN"/>
              </w:rPr>
              <w:t>搭配，以红色为主题，种植约7000平方米的农田大地景观，增加600米木围栏。</w:t>
            </w:r>
          </w:p>
        </w:tc>
        <w:tc>
          <w:tcPr>
            <w:tcW w:w="433" w:type="pct"/>
            <w:noWrap w:val="0"/>
            <w:vAlign w:val="center"/>
          </w:tcPr>
          <w:p w14:paraId="4CA2CB05">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县文旅局</w:t>
            </w:r>
          </w:p>
        </w:tc>
        <w:tc>
          <w:tcPr>
            <w:tcW w:w="511" w:type="pct"/>
            <w:noWrap w:val="0"/>
            <w:vAlign w:val="center"/>
          </w:tcPr>
          <w:p w14:paraId="5F1C5C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2026-2030</w:t>
            </w:r>
          </w:p>
        </w:tc>
        <w:tc>
          <w:tcPr>
            <w:tcW w:w="487" w:type="pct"/>
            <w:noWrap w:val="0"/>
            <w:vAlign w:val="center"/>
          </w:tcPr>
          <w:p w14:paraId="103990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2763</w:t>
            </w:r>
          </w:p>
        </w:tc>
        <w:tc>
          <w:tcPr>
            <w:tcW w:w="677" w:type="pct"/>
            <w:noWrap w:val="0"/>
            <w:vAlign w:val="center"/>
          </w:tcPr>
          <w:p w14:paraId="79BC0ED8">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107F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63" w:type="pct"/>
            <w:noWrap w:val="0"/>
            <w:vAlign w:val="center"/>
          </w:tcPr>
          <w:p w14:paraId="4EDCEF47">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7D43E6A">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107CB3E7">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rPr>
              <w:t>丁青县天穹孜珠景区低空经济建设工程</w:t>
            </w:r>
          </w:p>
        </w:tc>
        <w:tc>
          <w:tcPr>
            <w:tcW w:w="1715" w:type="pct"/>
            <w:noWrap w:val="0"/>
            <w:vAlign w:val="center"/>
          </w:tcPr>
          <w:p w14:paraId="12A6BACD">
            <w:pPr>
              <w:keepNext w:val="0"/>
              <w:keepLines w:val="0"/>
              <w:widowControl/>
              <w:suppressLineNumbers w:val="0"/>
              <w:jc w:val="left"/>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sz w:val="21"/>
                <w:szCs w:val="21"/>
                <w:highlight w:val="none"/>
                <w:u w:val="none"/>
              </w:rPr>
              <w:t>租赁直升机3架、建设停机坪300㎡、机库200㎡，建设翼装飞行平台50㎡，配套服务处100㎡（提供维护、售卖、体验）。配套给排水工程、配套电气工程。</w:t>
            </w:r>
          </w:p>
        </w:tc>
        <w:tc>
          <w:tcPr>
            <w:tcW w:w="433" w:type="pct"/>
            <w:noWrap w:val="0"/>
            <w:vAlign w:val="center"/>
          </w:tcPr>
          <w:p w14:paraId="7780832E">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县文旅局</w:t>
            </w:r>
          </w:p>
        </w:tc>
        <w:tc>
          <w:tcPr>
            <w:tcW w:w="511" w:type="pct"/>
            <w:noWrap w:val="0"/>
            <w:vAlign w:val="center"/>
          </w:tcPr>
          <w:p w14:paraId="031054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2029-2030</w:t>
            </w:r>
          </w:p>
        </w:tc>
        <w:tc>
          <w:tcPr>
            <w:tcW w:w="487" w:type="pct"/>
            <w:noWrap w:val="0"/>
            <w:vAlign w:val="center"/>
          </w:tcPr>
          <w:p w14:paraId="237978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1000</w:t>
            </w:r>
          </w:p>
        </w:tc>
        <w:tc>
          <w:tcPr>
            <w:tcW w:w="677" w:type="pct"/>
            <w:noWrap w:val="0"/>
            <w:vAlign w:val="center"/>
          </w:tcPr>
          <w:p w14:paraId="0596B79C">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4E95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63" w:type="pct"/>
            <w:noWrap w:val="0"/>
            <w:vAlign w:val="center"/>
          </w:tcPr>
          <w:p w14:paraId="0CD3B1E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6B00D972">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1"/>
                <w:szCs w:val="21"/>
                <w:highlight w:val="none"/>
                <w:u w:val="none"/>
                <w:lang w:val="en-US" w:eastAsia="zh-CN" w:bidi="ar"/>
              </w:rPr>
            </w:pPr>
            <w:r>
              <w:rPr>
                <w:rFonts w:hint="eastAsia" w:ascii="Times New Roman" w:hAnsi="Times New Roman" w:eastAsia="仿宋_GB2312" w:cs="仿宋_GB2312"/>
                <w:i w:val="0"/>
                <w:iCs w:val="0"/>
                <w:color w:val="000000"/>
                <w:kern w:val="0"/>
                <w:sz w:val="21"/>
                <w:szCs w:val="21"/>
                <w:highlight w:val="none"/>
                <w:u w:val="none"/>
                <w:lang w:val="en-US" w:eastAsia="zh-CN" w:bidi="ar"/>
              </w:rPr>
              <w:t>清洁能源建设</w:t>
            </w:r>
          </w:p>
        </w:tc>
        <w:tc>
          <w:tcPr>
            <w:tcW w:w="684" w:type="pct"/>
            <w:noWrap w:val="0"/>
            <w:vAlign w:val="center"/>
          </w:tcPr>
          <w:p w14:paraId="55A42592">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昌都市西部水风光一体化基地</w:t>
            </w:r>
          </w:p>
        </w:tc>
        <w:tc>
          <w:tcPr>
            <w:tcW w:w="1715" w:type="pct"/>
            <w:noWrap w:val="0"/>
            <w:vAlign w:val="center"/>
          </w:tcPr>
          <w:p w14:paraId="50D501DB">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建设藏东南西区726.4万千瓦综合能源基地</w:t>
            </w:r>
          </w:p>
        </w:tc>
        <w:tc>
          <w:tcPr>
            <w:tcW w:w="433" w:type="pct"/>
            <w:noWrap w:val="0"/>
            <w:vAlign w:val="center"/>
          </w:tcPr>
          <w:p w14:paraId="2421FC9C">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县能源局</w:t>
            </w:r>
          </w:p>
        </w:tc>
        <w:tc>
          <w:tcPr>
            <w:tcW w:w="511" w:type="pct"/>
            <w:noWrap w:val="0"/>
            <w:vAlign w:val="center"/>
          </w:tcPr>
          <w:p w14:paraId="513D18A7">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2026-2029</w:t>
            </w:r>
          </w:p>
        </w:tc>
        <w:tc>
          <w:tcPr>
            <w:tcW w:w="487" w:type="pct"/>
            <w:noWrap w:val="0"/>
            <w:vAlign w:val="center"/>
          </w:tcPr>
          <w:p w14:paraId="03629203">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187500 </w:t>
            </w:r>
          </w:p>
        </w:tc>
        <w:tc>
          <w:tcPr>
            <w:tcW w:w="677" w:type="pct"/>
            <w:noWrap w:val="0"/>
            <w:vAlign w:val="center"/>
          </w:tcPr>
          <w:p w14:paraId="62537A0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5730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00DF061D">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54074000">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78503A7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国道317新能源设施建设项目</w:t>
            </w:r>
          </w:p>
        </w:tc>
        <w:tc>
          <w:tcPr>
            <w:tcW w:w="1715" w:type="pct"/>
            <w:noWrap w:val="0"/>
            <w:vAlign w:val="center"/>
          </w:tcPr>
          <w:p w14:paraId="7B799DE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新建5座新能源充电设施3处，每处占地2000平方米及屙屎配套</w:t>
            </w:r>
          </w:p>
        </w:tc>
        <w:tc>
          <w:tcPr>
            <w:tcW w:w="433" w:type="pct"/>
            <w:noWrap w:val="0"/>
            <w:vAlign w:val="center"/>
          </w:tcPr>
          <w:p w14:paraId="1F75601E">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县能源局</w:t>
            </w:r>
          </w:p>
        </w:tc>
        <w:tc>
          <w:tcPr>
            <w:tcW w:w="511" w:type="pct"/>
            <w:noWrap w:val="0"/>
            <w:vAlign w:val="center"/>
          </w:tcPr>
          <w:p w14:paraId="03ADC65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2026-2029</w:t>
            </w:r>
          </w:p>
        </w:tc>
        <w:tc>
          <w:tcPr>
            <w:tcW w:w="487" w:type="pct"/>
            <w:noWrap w:val="0"/>
            <w:vAlign w:val="center"/>
          </w:tcPr>
          <w:p w14:paraId="1642243E">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5000 </w:t>
            </w:r>
          </w:p>
        </w:tc>
        <w:tc>
          <w:tcPr>
            <w:tcW w:w="677" w:type="pct"/>
            <w:noWrap w:val="0"/>
            <w:vAlign w:val="center"/>
          </w:tcPr>
          <w:p w14:paraId="113B85C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0A92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3" w:type="pct"/>
            <w:noWrap w:val="0"/>
            <w:vAlign w:val="center"/>
          </w:tcPr>
          <w:p w14:paraId="33FAD492">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CAD1151">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0893BE2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丁青县绿色新能源超级充电站建设项目</w:t>
            </w:r>
          </w:p>
        </w:tc>
        <w:tc>
          <w:tcPr>
            <w:tcW w:w="1715" w:type="pct"/>
            <w:noWrap w:val="0"/>
            <w:vAlign w:val="center"/>
          </w:tcPr>
          <w:p w14:paraId="46B6477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协雄乡建设内容主要为：本次新建充电站综合服务用房300平方米、本次新建服务站停车场1500平方米、本次新建充电站钢膜结构雨棚500平方米、本次采购十台超级充电桩设备及室外相关附属设施。丁青县色扎乡建设内容主要为：本次新建充电站综合服务用房100平方米、本次新建服务站停车场700平方米、本次新建充电站钢膜结构雨棚200平方米、本次采购4台超级充电桩设备及室外相关附属设施。1. 技术可行性：充电桩技术相对成熟，充电速度和效率逐步提高，满足新能源汽车市场的需求。2. 经济可行性：根据市场需求和预测，新能源汽车充电桩项目具有良好的盈利前景，虽然初期投资较高，但随着市场扩大和运营效率提高，项目具备可观的回报潜力。3. 环境可行性：新能源汽车的推广和普及，将有助于减少传统燃油汽车对环境的影响，降低空气污染。</w:t>
            </w:r>
          </w:p>
        </w:tc>
        <w:tc>
          <w:tcPr>
            <w:tcW w:w="433" w:type="pct"/>
            <w:noWrap w:val="0"/>
            <w:vAlign w:val="center"/>
          </w:tcPr>
          <w:p w14:paraId="4238F29D">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7A3C352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33BB62EF">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750</w:t>
            </w:r>
          </w:p>
        </w:tc>
        <w:tc>
          <w:tcPr>
            <w:tcW w:w="677" w:type="pct"/>
            <w:noWrap w:val="0"/>
            <w:vAlign w:val="center"/>
          </w:tcPr>
          <w:p w14:paraId="6206171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4869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5BB5DA14">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0C2C35A1">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0F03819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昌都市丁青县风光互补项目</w:t>
            </w:r>
          </w:p>
        </w:tc>
        <w:tc>
          <w:tcPr>
            <w:tcW w:w="1715" w:type="pct"/>
            <w:noWrap w:val="0"/>
            <w:vAlign w:val="center"/>
          </w:tcPr>
          <w:p w14:paraId="1FDABB5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20万千瓦新能源基地</w:t>
            </w:r>
          </w:p>
        </w:tc>
        <w:tc>
          <w:tcPr>
            <w:tcW w:w="433" w:type="pct"/>
            <w:noWrap w:val="0"/>
            <w:vAlign w:val="center"/>
          </w:tcPr>
          <w:p w14:paraId="678E1B83">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县能源局</w:t>
            </w:r>
          </w:p>
        </w:tc>
        <w:tc>
          <w:tcPr>
            <w:tcW w:w="511" w:type="pct"/>
            <w:noWrap w:val="0"/>
            <w:vAlign w:val="center"/>
          </w:tcPr>
          <w:p w14:paraId="4643A72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2026-2029</w:t>
            </w:r>
          </w:p>
        </w:tc>
        <w:tc>
          <w:tcPr>
            <w:tcW w:w="487" w:type="pct"/>
            <w:noWrap w:val="0"/>
            <w:vAlign w:val="center"/>
          </w:tcPr>
          <w:p w14:paraId="494EF8C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125000</w:t>
            </w:r>
          </w:p>
        </w:tc>
        <w:tc>
          <w:tcPr>
            <w:tcW w:w="677" w:type="pct"/>
            <w:noWrap w:val="0"/>
            <w:vAlign w:val="center"/>
          </w:tcPr>
          <w:p w14:paraId="5DD413E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4055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3" w:type="pct"/>
            <w:noWrap w:val="0"/>
            <w:vAlign w:val="center"/>
          </w:tcPr>
          <w:p w14:paraId="63A193BB">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1ECEB184">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kern w:val="0"/>
                <w:sz w:val="21"/>
                <w:szCs w:val="21"/>
                <w:highlight w:val="none"/>
                <w:u w:val="none"/>
                <w:lang w:val="en-US" w:eastAsia="zh-CN" w:bidi="ar"/>
              </w:rPr>
              <w:t>农牧业绿色发展</w:t>
            </w:r>
          </w:p>
        </w:tc>
        <w:tc>
          <w:tcPr>
            <w:tcW w:w="684" w:type="pct"/>
            <w:noWrap w:val="0"/>
            <w:vAlign w:val="center"/>
          </w:tcPr>
          <w:p w14:paraId="11DA712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丁青县现代化草原生态牧场及标准化养殖场建设项目</w:t>
            </w:r>
          </w:p>
        </w:tc>
        <w:tc>
          <w:tcPr>
            <w:tcW w:w="1715" w:type="pct"/>
            <w:noWrap w:val="0"/>
            <w:vAlign w:val="center"/>
          </w:tcPr>
          <w:p w14:paraId="797F35D0">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支持巴达乡、嘎塔乡、布塔乡、木塔乡、甘岩乡以草畜平衡为前提，组建现代家庭牧场或联合体，采取暖季放牧和冷季舍饲半合饲相结合，形成“天然草原＋人工草地＋适度规模养殖”相配套的养殖模式，建设标准化畜棚、配套装备、饲草料房、饲草收割青贮等设施设备。</w:t>
            </w:r>
          </w:p>
        </w:tc>
        <w:tc>
          <w:tcPr>
            <w:tcW w:w="433" w:type="pct"/>
            <w:noWrap w:val="0"/>
            <w:vAlign w:val="center"/>
          </w:tcPr>
          <w:p w14:paraId="6BB4BAFE">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24B4675A">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1F0036E7">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3500</w:t>
            </w:r>
          </w:p>
        </w:tc>
        <w:tc>
          <w:tcPr>
            <w:tcW w:w="677" w:type="pct"/>
            <w:noWrap w:val="0"/>
            <w:vAlign w:val="center"/>
          </w:tcPr>
          <w:p w14:paraId="5B27702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294F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63" w:type="pct"/>
            <w:noWrap w:val="0"/>
            <w:vAlign w:val="center"/>
          </w:tcPr>
          <w:p w14:paraId="6D6BEE6C">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C7D02AD">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78FCD7A3">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丁青县“三品一标”项目</w:t>
            </w:r>
          </w:p>
        </w:tc>
        <w:tc>
          <w:tcPr>
            <w:tcW w:w="1715" w:type="pct"/>
            <w:noWrap w:val="0"/>
            <w:vAlign w:val="center"/>
          </w:tcPr>
          <w:p w14:paraId="47FF49E8">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申报丁青牦牛，小蓝青稞、云朵玫瑰等生态原产地和名特优产品及绿色产品认证工作，国家地理位置的标识标牌。</w:t>
            </w:r>
          </w:p>
        </w:tc>
        <w:tc>
          <w:tcPr>
            <w:tcW w:w="433" w:type="pct"/>
            <w:noWrap w:val="0"/>
            <w:vAlign w:val="center"/>
          </w:tcPr>
          <w:p w14:paraId="7BBC85F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4F8BCFA1">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1FF7F0D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130</w:t>
            </w:r>
          </w:p>
        </w:tc>
        <w:tc>
          <w:tcPr>
            <w:tcW w:w="677" w:type="pct"/>
            <w:noWrap w:val="0"/>
            <w:vAlign w:val="center"/>
          </w:tcPr>
          <w:p w14:paraId="708D8CD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0B9D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noWrap w:val="0"/>
            <w:vAlign w:val="center"/>
          </w:tcPr>
          <w:p w14:paraId="3880C757">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1D0AF7AE">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9A0CC6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丁青县云朵玫瑰初加工厂项目</w:t>
            </w:r>
          </w:p>
        </w:tc>
        <w:tc>
          <w:tcPr>
            <w:tcW w:w="1715" w:type="pct"/>
            <w:noWrap w:val="0"/>
            <w:vAlign w:val="center"/>
          </w:tcPr>
          <w:p w14:paraId="3C6B924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新建500平方米云朵玫瑰初加工厂，鲜切花、干花、其他初加工产品。</w:t>
            </w:r>
          </w:p>
        </w:tc>
        <w:tc>
          <w:tcPr>
            <w:tcW w:w="433" w:type="pct"/>
            <w:noWrap w:val="0"/>
            <w:vAlign w:val="center"/>
          </w:tcPr>
          <w:p w14:paraId="48DBCFD6">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54CF62AC">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2026</w:t>
            </w:r>
            <w:r>
              <w:rPr>
                <w:rFonts w:hint="eastAsia" w:ascii="Times New Roman" w:hAnsi="Times New Roman" w:eastAsia="仿宋_GB2312" w:cs="仿宋_GB2312"/>
                <w:color w:val="000000"/>
                <w:kern w:val="0"/>
                <w:szCs w:val="21"/>
                <w:highlight w:val="none"/>
                <w:lang w:val="en-US" w:eastAsia="zh-CN" w:bidi="ar"/>
              </w:rPr>
              <w:t>—</w:t>
            </w:r>
            <w:r>
              <w:rPr>
                <w:rFonts w:hint="default" w:ascii="Times New Roman" w:hAnsi="Times New Roman" w:eastAsia="仿宋_GB2312" w:cs="仿宋_GB2312"/>
                <w:color w:val="000000"/>
                <w:kern w:val="0"/>
                <w:szCs w:val="21"/>
                <w:highlight w:val="none"/>
                <w:lang w:val="en-US" w:eastAsia="zh-CN" w:bidi="ar"/>
              </w:rPr>
              <w:t>2030</w:t>
            </w:r>
          </w:p>
        </w:tc>
        <w:tc>
          <w:tcPr>
            <w:tcW w:w="487" w:type="pct"/>
            <w:noWrap w:val="0"/>
            <w:vAlign w:val="center"/>
          </w:tcPr>
          <w:p w14:paraId="6CCEE5E2">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350</w:t>
            </w:r>
          </w:p>
        </w:tc>
        <w:tc>
          <w:tcPr>
            <w:tcW w:w="677" w:type="pct"/>
            <w:noWrap w:val="0"/>
            <w:vAlign w:val="center"/>
          </w:tcPr>
          <w:p w14:paraId="55C6B96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3347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8"/>
            <w:noWrap w:val="0"/>
            <w:vAlign w:val="center"/>
          </w:tcPr>
          <w:p w14:paraId="7D5B9839">
            <w:pPr>
              <w:keepNext w:val="0"/>
              <w:keepLines w:val="0"/>
              <w:widowControl/>
              <w:numPr>
                <w:ilvl w:val="0"/>
                <w:numId w:val="0"/>
              </w:numPr>
              <w:suppressLineNumbers w:val="0"/>
              <w:ind w:leftChars="0"/>
              <w:jc w:val="left"/>
              <w:textAlignment w:val="center"/>
              <w:rPr>
                <w:rFonts w:hint="eastAsia" w:ascii="Times New Roman" w:hAnsi="Times New Roman" w:eastAsia="楷体" w:cs="楷体"/>
                <w:b/>
                <w:bCs/>
                <w:i w:val="0"/>
                <w:iCs w:val="0"/>
                <w:color w:val="000000"/>
                <w:sz w:val="21"/>
                <w:szCs w:val="21"/>
                <w:highlight w:val="none"/>
                <w:u w:val="none"/>
              </w:rPr>
            </w:pPr>
            <w:r>
              <w:rPr>
                <w:rFonts w:hint="eastAsia" w:ascii="Times New Roman" w:hAnsi="Times New Roman" w:eastAsia="楷体" w:cs="楷体"/>
                <w:b/>
                <w:bCs/>
                <w:i w:val="0"/>
                <w:iCs w:val="0"/>
                <w:color w:val="000000"/>
                <w:kern w:val="0"/>
                <w:sz w:val="21"/>
                <w:szCs w:val="21"/>
                <w:highlight w:val="none"/>
                <w:u w:val="none"/>
                <w:lang w:val="en-US" w:eastAsia="zh-CN" w:bidi="ar"/>
              </w:rPr>
              <w:t>四、生态安全项目</w:t>
            </w:r>
          </w:p>
        </w:tc>
      </w:tr>
      <w:tr w14:paraId="4A9D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63" w:type="pct"/>
            <w:noWrap w:val="0"/>
            <w:vAlign w:val="center"/>
          </w:tcPr>
          <w:p w14:paraId="53DA9BA6">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2CC1CAF5">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环境风险防控</w:t>
            </w:r>
          </w:p>
        </w:tc>
        <w:tc>
          <w:tcPr>
            <w:tcW w:w="684" w:type="pct"/>
            <w:noWrap w:val="0"/>
            <w:vAlign w:val="center"/>
          </w:tcPr>
          <w:p w14:paraId="159B248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丁青县人工影响天气作业能力建设</w:t>
            </w:r>
          </w:p>
        </w:tc>
        <w:tc>
          <w:tcPr>
            <w:tcW w:w="1715" w:type="pct"/>
            <w:noWrap w:val="0"/>
            <w:vAlign w:val="center"/>
          </w:tcPr>
          <w:p w14:paraId="6608E2D5">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人影智能作业系统建设，新建远程智能遥控地面暖云催化系统</w:t>
            </w:r>
          </w:p>
        </w:tc>
        <w:tc>
          <w:tcPr>
            <w:tcW w:w="433" w:type="pct"/>
            <w:noWrap w:val="0"/>
            <w:vAlign w:val="center"/>
          </w:tcPr>
          <w:p w14:paraId="3AFC0FDF">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县气象局</w:t>
            </w:r>
          </w:p>
        </w:tc>
        <w:tc>
          <w:tcPr>
            <w:tcW w:w="511" w:type="pct"/>
            <w:noWrap w:val="0"/>
            <w:vAlign w:val="center"/>
          </w:tcPr>
          <w:p w14:paraId="38EE4B2A">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6A69C7C7">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1000 </w:t>
            </w:r>
          </w:p>
        </w:tc>
        <w:tc>
          <w:tcPr>
            <w:tcW w:w="677" w:type="pct"/>
            <w:noWrap w:val="0"/>
            <w:vAlign w:val="center"/>
          </w:tcPr>
          <w:p w14:paraId="06BC40F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285C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3" w:type="pct"/>
            <w:noWrap w:val="0"/>
            <w:vAlign w:val="center"/>
          </w:tcPr>
          <w:p w14:paraId="68008D75">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257F6718">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53840B8D">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丁青县旅游景区气象保障能力提升项目</w:t>
            </w:r>
          </w:p>
        </w:tc>
        <w:tc>
          <w:tcPr>
            <w:tcW w:w="1715" w:type="pct"/>
            <w:noWrap w:val="0"/>
            <w:vAlign w:val="center"/>
          </w:tcPr>
          <w:p w14:paraId="453DABC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主要为建设旅游景点旅游气象监测、LED电子显示屏及基础配套设施</w:t>
            </w:r>
          </w:p>
        </w:tc>
        <w:tc>
          <w:tcPr>
            <w:tcW w:w="433" w:type="pct"/>
            <w:noWrap w:val="0"/>
            <w:vAlign w:val="center"/>
          </w:tcPr>
          <w:p w14:paraId="05B008A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县气象局</w:t>
            </w:r>
          </w:p>
        </w:tc>
        <w:tc>
          <w:tcPr>
            <w:tcW w:w="511" w:type="pct"/>
            <w:noWrap w:val="0"/>
            <w:vAlign w:val="center"/>
          </w:tcPr>
          <w:p w14:paraId="2A835B2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352C599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200 </w:t>
            </w:r>
          </w:p>
        </w:tc>
        <w:tc>
          <w:tcPr>
            <w:tcW w:w="677" w:type="pct"/>
            <w:noWrap w:val="0"/>
            <w:vAlign w:val="center"/>
          </w:tcPr>
          <w:p w14:paraId="568898F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6CF9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3" w:type="pct"/>
            <w:noWrap w:val="0"/>
            <w:vAlign w:val="center"/>
          </w:tcPr>
          <w:p w14:paraId="470EE00F">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B73AFF7">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035E7CF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丁青县村级防抗灾物资储备库建设项目</w:t>
            </w:r>
          </w:p>
        </w:tc>
        <w:tc>
          <w:tcPr>
            <w:tcW w:w="1715" w:type="pct"/>
            <w:noWrap w:val="0"/>
            <w:vAlign w:val="center"/>
          </w:tcPr>
          <w:p w14:paraId="631CD072">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本次新建丁青县村级防抗灾物资储备库38座，每座200.01m²，共计7603.8m²、每座400m²室外硬化共计15200m²、每座100m围墙共计3800m等设施。</w:t>
            </w:r>
          </w:p>
        </w:tc>
        <w:tc>
          <w:tcPr>
            <w:tcW w:w="433" w:type="pct"/>
            <w:noWrap w:val="0"/>
            <w:vAlign w:val="center"/>
          </w:tcPr>
          <w:p w14:paraId="7C9649AF">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县农科局</w:t>
            </w:r>
          </w:p>
        </w:tc>
        <w:tc>
          <w:tcPr>
            <w:tcW w:w="511" w:type="pct"/>
            <w:noWrap w:val="0"/>
            <w:vAlign w:val="center"/>
          </w:tcPr>
          <w:p w14:paraId="43552868">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40EB96F8">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2280 </w:t>
            </w:r>
          </w:p>
        </w:tc>
        <w:tc>
          <w:tcPr>
            <w:tcW w:w="677" w:type="pct"/>
            <w:noWrap w:val="0"/>
            <w:vAlign w:val="center"/>
          </w:tcPr>
          <w:p w14:paraId="468E547E">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2E29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3" w:type="pct"/>
            <w:noWrap w:val="0"/>
            <w:vAlign w:val="center"/>
          </w:tcPr>
          <w:p w14:paraId="695C6C09">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B6D122A">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5436300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县、乡、村三级应急广播系统，实现“村村响”，纳入国家应急广播体系建设。</w:t>
            </w:r>
          </w:p>
        </w:tc>
        <w:tc>
          <w:tcPr>
            <w:tcW w:w="1715" w:type="pct"/>
            <w:noWrap w:val="0"/>
            <w:vAlign w:val="center"/>
          </w:tcPr>
          <w:p w14:paraId="18CDAA9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79套</w:t>
            </w:r>
          </w:p>
        </w:tc>
        <w:tc>
          <w:tcPr>
            <w:tcW w:w="433" w:type="pct"/>
            <w:noWrap w:val="0"/>
            <w:vAlign w:val="center"/>
          </w:tcPr>
          <w:p w14:paraId="12B86E7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县应急管理局</w:t>
            </w:r>
          </w:p>
        </w:tc>
        <w:tc>
          <w:tcPr>
            <w:tcW w:w="511" w:type="pct"/>
            <w:noWrap w:val="0"/>
            <w:vAlign w:val="center"/>
          </w:tcPr>
          <w:p w14:paraId="31E427F1">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424CDC5C">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5000 </w:t>
            </w:r>
          </w:p>
        </w:tc>
        <w:tc>
          <w:tcPr>
            <w:tcW w:w="677" w:type="pct"/>
            <w:noWrap w:val="0"/>
            <w:vAlign w:val="center"/>
          </w:tcPr>
          <w:p w14:paraId="68820AC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30F0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3" w:type="pct"/>
            <w:noWrap w:val="0"/>
            <w:vAlign w:val="center"/>
          </w:tcPr>
          <w:p w14:paraId="447999E0">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2ED27068">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6774F08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丁青县重点林区防火预警综合项目</w:t>
            </w:r>
          </w:p>
        </w:tc>
        <w:tc>
          <w:tcPr>
            <w:tcW w:w="1715" w:type="pct"/>
            <w:noWrap w:val="0"/>
            <w:vAlign w:val="center"/>
          </w:tcPr>
          <w:p w14:paraId="5A0D7A2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主要配备总控制室、安装烟雾报警器、摄像头、瞭望塔、无人机、为及时掌握火灾情况和预防火灾的发生。更好地保护现有生态环境。</w:t>
            </w:r>
          </w:p>
        </w:tc>
        <w:tc>
          <w:tcPr>
            <w:tcW w:w="433" w:type="pct"/>
            <w:noWrap w:val="0"/>
            <w:vAlign w:val="center"/>
          </w:tcPr>
          <w:p w14:paraId="550D18FF">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县林草局</w:t>
            </w:r>
          </w:p>
        </w:tc>
        <w:tc>
          <w:tcPr>
            <w:tcW w:w="511" w:type="pct"/>
            <w:noWrap w:val="0"/>
            <w:vAlign w:val="center"/>
          </w:tcPr>
          <w:p w14:paraId="4183F5F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2027</w:t>
            </w:r>
          </w:p>
        </w:tc>
        <w:tc>
          <w:tcPr>
            <w:tcW w:w="487" w:type="pct"/>
            <w:noWrap/>
            <w:vAlign w:val="center"/>
          </w:tcPr>
          <w:p w14:paraId="0D608F67">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2000</w:t>
            </w:r>
          </w:p>
        </w:tc>
        <w:tc>
          <w:tcPr>
            <w:tcW w:w="677" w:type="pct"/>
            <w:noWrap w:val="0"/>
            <w:vAlign w:val="center"/>
          </w:tcPr>
          <w:p w14:paraId="585B9399">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2B44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3" w:type="pct"/>
            <w:noWrap w:val="0"/>
            <w:vAlign w:val="center"/>
          </w:tcPr>
          <w:p w14:paraId="593CA0E2">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46A62CC8">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lang w:val="en-US" w:eastAsia="zh-CN"/>
              </w:rPr>
            </w:pPr>
          </w:p>
        </w:tc>
        <w:tc>
          <w:tcPr>
            <w:tcW w:w="684" w:type="pct"/>
            <w:noWrap w:val="0"/>
            <w:vAlign w:val="center"/>
          </w:tcPr>
          <w:p w14:paraId="101C81D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昌都市丁青县重点林区保护管理站</w:t>
            </w:r>
          </w:p>
        </w:tc>
        <w:tc>
          <w:tcPr>
            <w:tcW w:w="1715" w:type="pct"/>
            <w:noWrap w:val="0"/>
            <w:vAlign w:val="center"/>
          </w:tcPr>
          <w:p w14:paraId="70A58DFE">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森林防火宣传，自然灾害，生态保护，2个，集训场，办公楼</w:t>
            </w:r>
          </w:p>
        </w:tc>
        <w:tc>
          <w:tcPr>
            <w:tcW w:w="433" w:type="pct"/>
            <w:noWrap w:val="0"/>
            <w:vAlign w:val="center"/>
          </w:tcPr>
          <w:p w14:paraId="60DBACF9">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县林草局</w:t>
            </w:r>
          </w:p>
        </w:tc>
        <w:tc>
          <w:tcPr>
            <w:tcW w:w="511" w:type="pct"/>
            <w:noWrap w:val="0"/>
            <w:vAlign w:val="center"/>
          </w:tcPr>
          <w:p w14:paraId="3949DEF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w:t>
            </w:r>
          </w:p>
        </w:tc>
        <w:tc>
          <w:tcPr>
            <w:tcW w:w="487" w:type="pct"/>
            <w:noWrap/>
            <w:vAlign w:val="center"/>
          </w:tcPr>
          <w:p w14:paraId="162A10A8">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2030</w:t>
            </w:r>
          </w:p>
        </w:tc>
        <w:tc>
          <w:tcPr>
            <w:tcW w:w="677" w:type="pct"/>
            <w:noWrap w:val="0"/>
            <w:vAlign w:val="center"/>
          </w:tcPr>
          <w:p w14:paraId="406356C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县林草局项目库</w:t>
            </w:r>
          </w:p>
        </w:tc>
      </w:tr>
      <w:tr w14:paraId="332D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3" w:type="pct"/>
            <w:noWrap w:val="0"/>
            <w:vAlign w:val="center"/>
          </w:tcPr>
          <w:p w14:paraId="787D885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402BE44B">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032FE2C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丁青县林业有害生物防治综合防控体系建设</w:t>
            </w:r>
          </w:p>
        </w:tc>
        <w:tc>
          <w:tcPr>
            <w:tcW w:w="1715" w:type="pct"/>
            <w:noWrap w:val="0"/>
            <w:vAlign w:val="center"/>
          </w:tcPr>
          <w:p w14:paraId="4E27D32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建设一处林业有害防治储备库、配套设施建设，防治设备、药剂采购等。</w:t>
            </w:r>
          </w:p>
        </w:tc>
        <w:tc>
          <w:tcPr>
            <w:tcW w:w="433" w:type="pct"/>
            <w:noWrap w:val="0"/>
            <w:vAlign w:val="center"/>
          </w:tcPr>
          <w:p w14:paraId="4D621388">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县林草局</w:t>
            </w:r>
          </w:p>
        </w:tc>
        <w:tc>
          <w:tcPr>
            <w:tcW w:w="511" w:type="pct"/>
            <w:noWrap w:val="0"/>
            <w:vAlign w:val="center"/>
          </w:tcPr>
          <w:p w14:paraId="2BDFFA59">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62B5129E">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1500</w:t>
            </w:r>
          </w:p>
        </w:tc>
        <w:tc>
          <w:tcPr>
            <w:tcW w:w="677" w:type="pct"/>
            <w:noWrap w:val="0"/>
            <w:vAlign w:val="center"/>
          </w:tcPr>
          <w:p w14:paraId="1003FDF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县林草局项目库</w:t>
            </w:r>
          </w:p>
        </w:tc>
      </w:tr>
      <w:tr w14:paraId="34C1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63" w:type="pct"/>
            <w:noWrap w:val="0"/>
            <w:vAlign w:val="center"/>
          </w:tcPr>
          <w:p w14:paraId="130B806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32CDF4DC">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地质灾害防治</w:t>
            </w:r>
          </w:p>
        </w:tc>
        <w:tc>
          <w:tcPr>
            <w:tcW w:w="684" w:type="pct"/>
            <w:noWrap w:val="0"/>
            <w:vAlign w:val="center"/>
          </w:tcPr>
          <w:p w14:paraId="08CC3C3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丁青县桑多乡、甘岩乡地质灾害1:10000精细化调查</w:t>
            </w:r>
          </w:p>
        </w:tc>
        <w:tc>
          <w:tcPr>
            <w:tcW w:w="1715" w:type="pct"/>
            <w:noWrap w:val="0"/>
            <w:vAlign w:val="center"/>
          </w:tcPr>
          <w:p w14:paraId="653461B5">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1.以西藏自治区重要场镇为中心开展 1:1 万精细化调查工作。重点围绕居民生命财产安全，城镇重点规划区和重大工程建设、重要矿山、旅游景区目标对象，全面排查地质灾害隐患风险，查明重要场镇及周围地质灾害隐患点的分布、发育特征和危害程度；</w:t>
            </w:r>
          </w:p>
          <w:p w14:paraId="099879A6">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建立重要场镇地质灾害隐患台账、工程治理台账、排危除险台账、避险搬迁台账，建立我区重要场镇地质灾害精细化调查数据；提出地质灾害防治规划建议、典型地质灾害隐患点治理措施，复核地质灾害治理工程有效性；</w:t>
            </w:r>
          </w:p>
          <w:p w14:paraId="526ABF90">
            <w:pPr>
              <w:keepNext w:val="0"/>
              <w:keepLines w:val="0"/>
              <w:widowControl/>
              <w:suppressLineNumbers w:val="0"/>
              <w:jc w:val="both"/>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3.研究分析地质灾害成因机制及防灾控灾方案，科学评价地质灾害易发程度、危险性和风险性，为场镇防灾减灾管理、国土空间规划和用途管制等提供地质依据。</w:t>
            </w:r>
          </w:p>
        </w:tc>
        <w:tc>
          <w:tcPr>
            <w:tcW w:w="433" w:type="pct"/>
            <w:noWrap w:val="0"/>
            <w:vAlign w:val="center"/>
          </w:tcPr>
          <w:p w14:paraId="61FCB74D">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县自然资源局</w:t>
            </w:r>
          </w:p>
        </w:tc>
        <w:tc>
          <w:tcPr>
            <w:tcW w:w="511" w:type="pct"/>
            <w:noWrap w:val="0"/>
            <w:vAlign w:val="center"/>
          </w:tcPr>
          <w:p w14:paraId="70C5EEA9">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2026-2027</w:t>
            </w:r>
          </w:p>
        </w:tc>
        <w:tc>
          <w:tcPr>
            <w:tcW w:w="487" w:type="pct"/>
            <w:noWrap/>
            <w:vAlign w:val="center"/>
          </w:tcPr>
          <w:p w14:paraId="64B4873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300</w:t>
            </w:r>
          </w:p>
        </w:tc>
        <w:tc>
          <w:tcPr>
            <w:tcW w:w="677" w:type="pct"/>
            <w:noWrap w:val="0"/>
            <w:vAlign w:val="center"/>
          </w:tcPr>
          <w:p w14:paraId="23E0186E">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5411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3" w:type="pct"/>
            <w:noWrap w:val="0"/>
            <w:vAlign w:val="center"/>
          </w:tcPr>
          <w:p w14:paraId="19175E63">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A76E14F">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4E1D6D3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丁青县协雄乡朗通村易地搬迁地质灾害治理项目</w:t>
            </w:r>
          </w:p>
        </w:tc>
        <w:tc>
          <w:tcPr>
            <w:tcW w:w="1715" w:type="pct"/>
            <w:noWrap w:val="0"/>
            <w:vAlign w:val="center"/>
          </w:tcPr>
          <w:p w14:paraId="16DEC314">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为使易地搬迁房屋不受损新建20公里堡坎</w:t>
            </w:r>
          </w:p>
        </w:tc>
        <w:tc>
          <w:tcPr>
            <w:tcW w:w="433" w:type="pct"/>
            <w:noWrap w:val="0"/>
            <w:vAlign w:val="center"/>
          </w:tcPr>
          <w:p w14:paraId="464750E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县自然资源局</w:t>
            </w:r>
          </w:p>
        </w:tc>
        <w:tc>
          <w:tcPr>
            <w:tcW w:w="511" w:type="pct"/>
            <w:noWrap w:val="0"/>
            <w:vAlign w:val="center"/>
          </w:tcPr>
          <w:p w14:paraId="34F8AD9C">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4932AAC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16000 </w:t>
            </w:r>
          </w:p>
        </w:tc>
        <w:tc>
          <w:tcPr>
            <w:tcW w:w="677" w:type="pct"/>
            <w:noWrap w:val="0"/>
            <w:vAlign w:val="center"/>
          </w:tcPr>
          <w:p w14:paraId="158C8296">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0394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3" w:type="pct"/>
            <w:noWrap w:val="0"/>
            <w:vAlign w:val="center"/>
          </w:tcPr>
          <w:p w14:paraId="1EAF99C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7D69C9BE">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2F50B952">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丁青县丁青镇热昌村仲达河滑坡地质灾害治理</w:t>
            </w:r>
          </w:p>
        </w:tc>
        <w:tc>
          <w:tcPr>
            <w:tcW w:w="1715" w:type="pct"/>
            <w:noWrap w:val="0"/>
            <w:vAlign w:val="center"/>
          </w:tcPr>
          <w:p w14:paraId="6DD444BC">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挡墙、护坡、防护网、预警设施、泄洪沟等</w:t>
            </w:r>
          </w:p>
        </w:tc>
        <w:tc>
          <w:tcPr>
            <w:tcW w:w="433" w:type="pct"/>
            <w:noWrap w:val="0"/>
            <w:vAlign w:val="center"/>
          </w:tcPr>
          <w:p w14:paraId="5FA172D6">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县自然资源局</w:t>
            </w:r>
          </w:p>
        </w:tc>
        <w:tc>
          <w:tcPr>
            <w:tcW w:w="511" w:type="pct"/>
            <w:noWrap w:val="0"/>
            <w:vAlign w:val="center"/>
          </w:tcPr>
          <w:p w14:paraId="1A2AC77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2A95B595">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1200 </w:t>
            </w:r>
          </w:p>
        </w:tc>
        <w:tc>
          <w:tcPr>
            <w:tcW w:w="677" w:type="pct"/>
            <w:noWrap w:val="0"/>
            <w:vAlign w:val="center"/>
          </w:tcPr>
          <w:p w14:paraId="0CC419B7">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4653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3" w:type="pct"/>
            <w:noWrap w:val="0"/>
            <w:vAlign w:val="center"/>
          </w:tcPr>
          <w:p w14:paraId="6F58B1C9">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4F5827F2">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6D14432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昌都市丁青县沙贡乡地质灾害防治工程</w:t>
            </w:r>
          </w:p>
        </w:tc>
        <w:tc>
          <w:tcPr>
            <w:tcW w:w="1715" w:type="pct"/>
            <w:noWrap w:val="0"/>
            <w:vAlign w:val="center"/>
          </w:tcPr>
          <w:p w14:paraId="7D1CB3F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新建抗滑桩20个及挡墙100米</w:t>
            </w:r>
          </w:p>
        </w:tc>
        <w:tc>
          <w:tcPr>
            <w:tcW w:w="433" w:type="pct"/>
            <w:noWrap w:val="0"/>
            <w:vAlign w:val="center"/>
          </w:tcPr>
          <w:p w14:paraId="1DC0E349">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县自然资源局</w:t>
            </w:r>
          </w:p>
        </w:tc>
        <w:tc>
          <w:tcPr>
            <w:tcW w:w="511" w:type="pct"/>
            <w:noWrap w:val="0"/>
            <w:vAlign w:val="center"/>
          </w:tcPr>
          <w:p w14:paraId="4F1F5D08">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20AADF23">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1000 </w:t>
            </w:r>
          </w:p>
        </w:tc>
        <w:tc>
          <w:tcPr>
            <w:tcW w:w="677" w:type="pct"/>
            <w:noWrap w:val="0"/>
            <w:vAlign w:val="center"/>
          </w:tcPr>
          <w:p w14:paraId="6415FAF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06C2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3" w:type="pct"/>
            <w:noWrap w:val="0"/>
            <w:vAlign w:val="center"/>
          </w:tcPr>
          <w:p w14:paraId="3842CAB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33AA30D7">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5C84A3E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昌都市丁青县朗通村易地搬迁点地质灾害防治工程</w:t>
            </w:r>
          </w:p>
        </w:tc>
        <w:tc>
          <w:tcPr>
            <w:tcW w:w="1715" w:type="pct"/>
            <w:noWrap w:val="0"/>
            <w:vAlign w:val="center"/>
          </w:tcPr>
          <w:p w14:paraId="05AFB89F">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新建抗滑桩20个及挡墙100米</w:t>
            </w:r>
          </w:p>
        </w:tc>
        <w:tc>
          <w:tcPr>
            <w:tcW w:w="433" w:type="pct"/>
            <w:noWrap w:val="0"/>
            <w:vAlign w:val="center"/>
          </w:tcPr>
          <w:p w14:paraId="1C009995">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县自然资源局</w:t>
            </w:r>
          </w:p>
        </w:tc>
        <w:tc>
          <w:tcPr>
            <w:tcW w:w="511" w:type="pct"/>
            <w:noWrap w:val="0"/>
            <w:vAlign w:val="center"/>
          </w:tcPr>
          <w:p w14:paraId="49D6D771">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ign w:val="center"/>
          </w:tcPr>
          <w:p w14:paraId="6123FFF4">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 xml:space="preserve">1000 </w:t>
            </w:r>
          </w:p>
        </w:tc>
        <w:tc>
          <w:tcPr>
            <w:tcW w:w="677" w:type="pct"/>
            <w:noWrap w:val="0"/>
            <w:vAlign w:val="center"/>
          </w:tcPr>
          <w:p w14:paraId="1C4B8D2E">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丁青县“十五五”纲要项目库</w:t>
            </w:r>
          </w:p>
        </w:tc>
      </w:tr>
      <w:tr w14:paraId="50D2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8"/>
            <w:noWrap w:val="0"/>
            <w:vAlign w:val="center"/>
          </w:tcPr>
          <w:p w14:paraId="78BD6F7C">
            <w:pPr>
              <w:keepNext w:val="0"/>
              <w:keepLines w:val="0"/>
              <w:widowControl/>
              <w:numPr>
                <w:ilvl w:val="0"/>
                <w:numId w:val="0"/>
              </w:numPr>
              <w:suppressLineNumbers w:val="0"/>
              <w:ind w:leftChars="0"/>
              <w:jc w:val="left"/>
              <w:textAlignment w:val="center"/>
              <w:rPr>
                <w:rFonts w:hint="eastAsia" w:ascii="Times New Roman" w:hAnsi="Times New Roman" w:eastAsia="楷体" w:cs="楷体"/>
                <w:b/>
                <w:bCs/>
                <w:i w:val="0"/>
                <w:iCs w:val="0"/>
                <w:color w:val="000000"/>
                <w:sz w:val="21"/>
                <w:szCs w:val="21"/>
                <w:highlight w:val="none"/>
                <w:u w:val="none"/>
              </w:rPr>
            </w:pPr>
            <w:r>
              <w:rPr>
                <w:rFonts w:hint="eastAsia" w:ascii="Times New Roman" w:hAnsi="Times New Roman" w:eastAsia="楷体" w:cs="楷体"/>
                <w:b/>
                <w:bCs/>
                <w:i w:val="0"/>
                <w:iCs w:val="0"/>
                <w:color w:val="000000"/>
                <w:kern w:val="0"/>
                <w:sz w:val="21"/>
                <w:szCs w:val="21"/>
                <w:highlight w:val="none"/>
                <w:u w:val="none"/>
                <w:lang w:val="en-US" w:eastAsia="zh-CN" w:bidi="ar"/>
              </w:rPr>
              <w:t>五、生态文明领域示范建设</w:t>
            </w:r>
          </w:p>
        </w:tc>
      </w:tr>
      <w:tr w14:paraId="489E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63" w:type="pct"/>
            <w:noWrap w:val="0"/>
            <w:vAlign w:val="center"/>
          </w:tcPr>
          <w:p w14:paraId="663E80E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restart"/>
            <w:noWrap w:val="0"/>
            <w:vAlign w:val="center"/>
          </w:tcPr>
          <w:p w14:paraId="235EDC7C">
            <w:pPr>
              <w:keepNext w:val="0"/>
              <w:keepLines w:val="0"/>
              <w:widowControl/>
              <w:suppressLineNumbers w:val="0"/>
              <w:jc w:val="center"/>
              <w:textAlignment w:val="center"/>
              <w:rPr>
                <w:rFonts w:hint="eastAsia" w:ascii="Times New Roman" w:hAnsi="Times New Roman" w:eastAsia="仿宋_GB2312" w:cs="仿宋_GB2312"/>
                <w:i w:val="0"/>
                <w:iCs w:val="0"/>
                <w:color w:val="000000"/>
                <w:sz w:val="21"/>
                <w:szCs w:val="21"/>
                <w:highlight w:val="none"/>
                <w:u w:val="none"/>
              </w:rPr>
            </w:pPr>
            <w:r>
              <w:rPr>
                <w:rFonts w:hint="eastAsia" w:ascii="Times New Roman" w:hAnsi="Times New Roman" w:eastAsia="仿宋_GB2312" w:cs="仿宋_GB2312"/>
                <w:i w:val="0"/>
                <w:iCs w:val="0"/>
                <w:color w:val="000000"/>
                <w:kern w:val="0"/>
                <w:sz w:val="21"/>
                <w:szCs w:val="21"/>
                <w:highlight w:val="none"/>
                <w:u w:val="none"/>
                <w:lang w:val="en-US" w:eastAsia="zh-CN" w:bidi="ar"/>
              </w:rPr>
              <w:t>“美丽系列”建设</w:t>
            </w:r>
          </w:p>
        </w:tc>
        <w:tc>
          <w:tcPr>
            <w:tcW w:w="684" w:type="pct"/>
            <w:noWrap w:val="0"/>
            <w:vAlign w:val="center"/>
          </w:tcPr>
          <w:p w14:paraId="674B3E49">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default" w:ascii="Times New Roman" w:hAnsi="Times New Roman" w:eastAsia="仿宋_GB2312" w:cs="仿宋_GB2312"/>
                <w:color w:val="000000"/>
                <w:kern w:val="0"/>
                <w:szCs w:val="21"/>
                <w:highlight w:val="none"/>
                <w:lang w:val="en-US" w:eastAsia="zh-CN" w:bidi="ar"/>
              </w:rPr>
              <w:t>整县推进美丽乡村建设</w:t>
            </w:r>
          </w:p>
        </w:tc>
        <w:tc>
          <w:tcPr>
            <w:tcW w:w="1715" w:type="pct"/>
            <w:noWrap w:val="0"/>
            <w:vAlign w:val="center"/>
          </w:tcPr>
          <w:p w14:paraId="763CB278">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力争建成自治区整县推进美丽乡村。</w:t>
            </w:r>
          </w:p>
        </w:tc>
        <w:tc>
          <w:tcPr>
            <w:tcW w:w="433" w:type="pct"/>
            <w:noWrap w:val="0"/>
            <w:vAlign w:val="center"/>
          </w:tcPr>
          <w:p w14:paraId="36933630">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昌都市生态环境局丁青县分局</w:t>
            </w:r>
          </w:p>
        </w:tc>
        <w:tc>
          <w:tcPr>
            <w:tcW w:w="511" w:type="pct"/>
            <w:noWrap w:val="0"/>
            <w:vAlign w:val="center"/>
          </w:tcPr>
          <w:p w14:paraId="03A4CABA">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2026—2030</w:t>
            </w:r>
          </w:p>
        </w:tc>
        <w:tc>
          <w:tcPr>
            <w:tcW w:w="487" w:type="pct"/>
            <w:noWrap w:val="0"/>
            <w:vAlign w:val="center"/>
          </w:tcPr>
          <w:p w14:paraId="20A5212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p>
        </w:tc>
        <w:tc>
          <w:tcPr>
            <w:tcW w:w="677" w:type="pct"/>
            <w:noWrap w:val="0"/>
            <w:vAlign w:val="center"/>
          </w:tcPr>
          <w:p w14:paraId="2A9DEA70">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自治区美丽乡村文件任务</w:t>
            </w:r>
          </w:p>
        </w:tc>
      </w:tr>
      <w:tr w14:paraId="3F39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3" w:type="pct"/>
            <w:noWrap w:val="0"/>
            <w:vAlign w:val="center"/>
          </w:tcPr>
          <w:p w14:paraId="368BB2B8">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6236EC76">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1"/>
                <w:szCs w:val="21"/>
                <w:highlight w:val="none"/>
                <w:u w:val="none"/>
                <w:lang w:val="en-US" w:eastAsia="zh-CN" w:bidi="ar"/>
              </w:rPr>
            </w:pPr>
          </w:p>
        </w:tc>
        <w:tc>
          <w:tcPr>
            <w:tcW w:w="684" w:type="pct"/>
            <w:noWrap w:val="0"/>
            <w:vAlign w:val="center"/>
          </w:tcPr>
          <w:p w14:paraId="7A9FDC91">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昌都市丁青县雍达曲-卸曲幸福河湖建设工程</w:t>
            </w:r>
          </w:p>
        </w:tc>
        <w:tc>
          <w:tcPr>
            <w:tcW w:w="1715" w:type="pct"/>
            <w:noWrap w:val="0"/>
            <w:vAlign w:val="center"/>
          </w:tcPr>
          <w:p w14:paraId="7F9F0E7A">
            <w:pPr>
              <w:keepNext w:val="0"/>
              <w:keepLines w:val="0"/>
              <w:widowControl/>
              <w:suppressLineNumbers w:val="0"/>
              <w:jc w:val="center"/>
              <w:textAlignment w:val="center"/>
              <w:rPr>
                <w:rFonts w:hint="eastAsia"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建设生态护岸、便民亲水设施，设置节水、保护等宣传设施，开展水环境提升等</w:t>
            </w:r>
          </w:p>
        </w:tc>
        <w:tc>
          <w:tcPr>
            <w:tcW w:w="433" w:type="pct"/>
            <w:noWrap w:val="0"/>
            <w:vAlign w:val="center"/>
          </w:tcPr>
          <w:p w14:paraId="6775A5DF">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县水利局</w:t>
            </w:r>
          </w:p>
        </w:tc>
        <w:tc>
          <w:tcPr>
            <w:tcW w:w="511" w:type="pct"/>
            <w:noWrap w:val="0"/>
            <w:vAlign w:val="center"/>
          </w:tcPr>
          <w:p w14:paraId="25ABE898">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2028—2030</w:t>
            </w:r>
          </w:p>
        </w:tc>
        <w:tc>
          <w:tcPr>
            <w:tcW w:w="487" w:type="pct"/>
            <w:noWrap w:val="0"/>
            <w:vAlign w:val="center"/>
          </w:tcPr>
          <w:p w14:paraId="5918D52B">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8000</w:t>
            </w:r>
          </w:p>
        </w:tc>
        <w:tc>
          <w:tcPr>
            <w:tcW w:w="677" w:type="pct"/>
            <w:noWrap w:val="0"/>
            <w:vAlign w:val="center"/>
          </w:tcPr>
          <w:p w14:paraId="3A82885A">
            <w:pPr>
              <w:keepNext w:val="0"/>
              <w:keepLines w:val="0"/>
              <w:widowControl/>
              <w:suppressLineNumbers w:val="0"/>
              <w:jc w:val="center"/>
              <w:textAlignment w:val="center"/>
              <w:rPr>
                <w:rFonts w:hint="default" w:ascii="Times New Roman" w:hAnsi="Times New Roman" w:eastAsia="仿宋_GB2312" w:cs="仿宋_GB2312"/>
                <w:color w:val="000000"/>
                <w:kern w:val="0"/>
                <w:szCs w:val="21"/>
                <w:highlight w:val="none"/>
                <w:lang w:val="en-US" w:eastAsia="zh-CN" w:bidi="ar"/>
              </w:rPr>
            </w:pPr>
            <w:r>
              <w:rPr>
                <w:rFonts w:hint="eastAsia" w:ascii="Times New Roman" w:hAnsi="Times New Roman" w:eastAsia="仿宋_GB2312" w:cs="仿宋_GB2312"/>
                <w:color w:val="000000"/>
                <w:kern w:val="0"/>
                <w:szCs w:val="21"/>
                <w:highlight w:val="none"/>
                <w:lang w:val="en-US" w:eastAsia="zh-CN" w:bidi="ar"/>
              </w:rPr>
              <w:t>县水利局项目库</w:t>
            </w:r>
          </w:p>
        </w:tc>
      </w:tr>
      <w:tr w14:paraId="37EE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3" w:type="pct"/>
            <w:noWrap w:val="0"/>
            <w:vAlign w:val="center"/>
          </w:tcPr>
          <w:p w14:paraId="0A550AEE">
            <w:pPr>
              <w:keepNext w:val="0"/>
              <w:keepLines w:val="0"/>
              <w:widowControl/>
              <w:numPr>
                <w:ilvl w:val="0"/>
                <w:numId w:val="9"/>
              </w:numPr>
              <w:suppressLineNumbers w:val="0"/>
              <w:ind w:left="283" w:leftChars="0" w:hanging="283"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326" w:type="pct"/>
            <w:vMerge w:val="continue"/>
            <w:noWrap w:val="0"/>
            <w:vAlign w:val="center"/>
          </w:tcPr>
          <w:p w14:paraId="1613806D">
            <w:pPr>
              <w:jc w:val="center"/>
              <w:rPr>
                <w:rFonts w:hint="eastAsia" w:ascii="Times New Roman" w:hAnsi="Times New Roman" w:eastAsia="仿宋_GB2312" w:cs="仿宋_GB2312"/>
                <w:i w:val="0"/>
                <w:iCs w:val="0"/>
                <w:color w:val="000000"/>
                <w:sz w:val="21"/>
                <w:szCs w:val="21"/>
                <w:highlight w:val="none"/>
                <w:u w:val="none"/>
              </w:rPr>
            </w:pPr>
          </w:p>
        </w:tc>
        <w:tc>
          <w:tcPr>
            <w:tcW w:w="684" w:type="pct"/>
            <w:noWrap w:val="0"/>
            <w:vAlign w:val="center"/>
          </w:tcPr>
          <w:p w14:paraId="46BEECE7">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高原和美乡村建设</w:t>
            </w:r>
          </w:p>
        </w:tc>
        <w:tc>
          <w:tcPr>
            <w:tcW w:w="1715" w:type="pct"/>
            <w:noWrap w:val="0"/>
            <w:vAlign w:val="center"/>
          </w:tcPr>
          <w:p w14:paraId="3A0D1F16">
            <w:pPr>
              <w:keepNext w:val="0"/>
              <w:keepLines w:val="0"/>
              <w:widowControl/>
              <w:suppressLineNumbers w:val="0"/>
              <w:jc w:val="both"/>
              <w:textAlignment w:val="center"/>
              <w:rPr>
                <w:rFonts w:hint="eastAsia" w:ascii="Times New Roman" w:hAnsi="Times New Roman" w:eastAsia="仿宋_GB2312" w:cs="仿宋_GB2312"/>
                <w:i w:val="0"/>
                <w:iCs w:val="0"/>
                <w:color w:val="000000"/>
                <w:sz w:val="21"/>
                <w:szCs w:val="21"/>
                <w:highlight w:val="none"/>
                <w:u w:val="none"/>
                <w:lang w:eastAsia="zh-CN"/>
              </w:rPr>
            </w:pPr>
            <w:r>
              <w:rPr>
                <w:rFonts w:hint="eastAsia" w:ascii="Times New Roman" w:hAnsi="Times New Roman" w:eastAsia="仿宋_GB2312" w:cs="仿宋_GB2312"/>
                <w:i w:val="0"/>
                <w:iCs w:val="0"/>
                <w:color w:val="000000"/>
                <w:sz w:val="21"/>
                <w:szCs w:val="21"/>
                <w:highlight w:val="none"/>
                <w:u w:val="none"/>
                <w:lang w:val="en-US" w:eastAsia="zh-CN"/>
              </w:rPr>
              <w:t>开展</w:t>
            </w:r>
            <w:r>
              <w:rPr>
                <w:rFonts w:hint="eastAsia" w:ascii="Times New Roman" w:hAnsi="Times New Roman" w:eastAsia="仿宋_GB2312" w:cs="仿宋_GB2312"/>
                <w:i w:val="0"/>
                <w:iCs w:val="0"/>
                <w:color w:val="000000"/>
                <w:sz w:val="21"/>
                <w:szCs w:val="21"/>
                <w:highlight w:val="none"/>
                <w:u w:val="none"/>
              </w:rPr>
              <w:t>觉恩乡绒通村</w:t>
            </w:r>
            <w:r>
              <w:rPr>
                <w:rFonts w:hint="eastAsia" w:ascii="Times New Roman" w:hAnsi="Times New Roman" w:eastAsia="仿宋_GB2312" w:cs="仿宋_GB2312"/>
                <w:i w:val="0"/>
                <w:iCs w:val="0"/>
                <w:color w:val="000000"/>
                <w:sz w:val="21"/>
                <w:szCs w:val="21"/>
                <w:highlight w:val="none"/>
                <w:u w:val="none"/>
                <w:lang w:eastAsia="zh-CN"/>
              </w:rPr>
              <w:t>、达旭村、巴河村、卡龙村；丁青镇丁青村、热昌村、茶龙村、色康村；布塔乡日塔村、布塔村；尺牍镇上依村、俄列村、玛色村、巴格村；当堆乡伊塔西村、当堆村；木塔乡羊塔村、木塔村；色扎乡卡通村、贡桑村、索巴村；沙贡乡沙贡村；协雄乡朗通村、协雄村、协麦村</w:t>
            </w:r>
            <w:r>
              <w:rPr>
                <w:rFonts w:hint="eastAsia" w:ascii="Times New Roman" w:hAnsi="Times New Roman" w:eastAsia="仿宋_GB2312" w:cs="仿宋_GB2312"/>
                <w:i w:val="0"/>
                <w:iCs w:val="0"/>
                <w:color w:val="000000"/>
                <w:sz w:val="21"/>
                <w:szCs w:val="21"/>
                <w:highlight w:val="none"/>
                <w:u w:val="none"/>
                <w:lang w:val="en-US" w:eastAsia="zh-CN"/>
              </w:rPr>
              <w:t>等25个行政村和美乡村建设</w:t>
            </w:r>
            <w:r>
              <w:rPr>
                <w:rFonts w:hint="eastAsia" w:ascii="Times New Roman" w:hAnsi="Times New Roman" w:eastAsia="仿宋_GB2312" w:cs="仿宋_GB2312"/>
                <w:i w:val="0"/>
                <w:iCs w:val="0"/>
                <w:color w:val="000000"/>
                <w:sz w:val="21"/>
                <w:szCs w:val="21"/>
                <w:highlight w:val="none"/>
                <w:u w:val="none"/>
                <w:lang w:eastAsia="zh-CN"/>
              </w:rPr>
              <w:t>。</w:t>
            </w:r>
          </w:p>
        </w:tc>
        <w:tc>
          <w:tcPr>
            <w:tcW w:w="433" w:type="pct"/>
            <w:noWrap w:val="0"/>
            <w:vAlign w:val="center"/>
          </w:tcPr>
          <w:p w14:paraId="220558A0">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eastAsia="zh-CN"/>
              </w:rPr>
            </w:pPr>
            <w:r>
              <w:rPr>
                <w:rFonts w:hint="eastAsia" w:ascii="Times New Roman" w:hAnsi="Times New Roman" w:eastAsia="仿宋_GB2312" w:cs="仿宋_GB2312"/>
                <w:i w:val="0"/>
                <w:iCs w:val="0"/>
                <w:color w:val="000000"/>
                <w:sz w:val="21"/>
                <w:szCs w:val="21"/>
                <w:highlight w:val="none"/>
                <w:u w:val="none"/>
                <w:lang w:val="en-US" w:eastAsia="zh-CN"/>
              </w:rPr>
              <w:t>县农科局</w:t>
            </w:r>
          </w:p>
        </w:tc>
        <w:tc>
          <w:tcPr>
            <w:tcW w:w="511" w:type="pct"/>
            <w:noWrap w:val="0"/>
            <w:vAlign w:val="center"/>
          </w:tcPr>
          <w:p w14:paraId="14594E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2026-2030</w:t>
            </w:r>
          </w:p>
        </w:tc>
        <w:tc>
          <w:tcPr>
            <w:tcW w:w="487" w:type="pct"/>
            <w:noWrap/>
            <w:vAlign w:val="center"/>
          </w:tcPr>
          <w:p w14:paraId="7EAE4CC0">
            <w:pPr>
              <w:jc w:val="both"/>
              <w:rPr>
                <w:rFonts w:hint="default" w:ascii="Times New Roman" w:hAnsi="Times New Roman" w:eastAsia="宋体" w:cs="Times New Roman"/>
                <w:i w:val="0"/>
                <w:iCs w:val="0"/>
                <w:color w:val="000000"/>
                <w:sz w:val="22"/>
                <w:szCs w:val="22"/>
                <w:highlight w:val="none"/>
                <w:u w:val="none"/>
                <w:lang w:val="en-US" w:eastAsia="zh-CN"/>
              </w:rPr>
            </w:pPr>
          </w:p>
        </w:tc>
        <w:tc>
          <w:tcPr>
            <w:tcW w:w="677" w:type="pct"/>
            <w:noWrap w:val="0"/>
            <w:vAlign w:val="center"/>
          </w:tcPr>
          <w:p w14:paraId="44F6634D">
            <w:pPr>
              <w:keepNext w:val="0"/>
              <w:keepLines w:val="0"/>
              <w:widowControl/>
              <w:suppressLineNumbers w:val="0"/>
              <w:jc w:val="center"/>
              <w:textAlignment w:val="center"/>
              <w:rPr>
                <w:rFonts w:hint="default" w:ascii="Times New Roman" w:hAnsi="Times New Roman" w:eastAsia="仿宋_GB2312" w:cs="仿宋_GB2312"/>
                <w:i w:val="0"/>
                <w:iCs w:val="0"/>
                <w:color w:val="000000"/>
                <w:sz w:val="21"/>
                <w:szCs w:val="21"/>
                <w:highlight w:val="none"/>
                <w:u w:val="none"/>
                <w:lang w:val="en-US"/>
              </w:rPr>
            </w:pPr>
            <w:r>
              <w:rPr>
                <w:rFonts w:hint="eastAsia" w:ascii="Times New Roman" w:hAnsi="Times New Roman" w:eastAsia="仿宋_GB2312" w:cs="仿宋_GB2312"/>
                <w:i w:val="0"/>
                <w:iCs w:val="0"/>
                <w:color w:val="000000"/>
                <w:sz w:val="21"/>
                <w:szCs w:val="21"/>
                <w:highlight w:val="none"/>
                <w:u w:val="none"/>
                <w:lang w:val="en-US" w:eastAsia="zh-CN"/>
              </w:rPr>
              <w:t>县农科局“十五五”和美乡村建设计划</w:t>
            </w:r>
          </w:p>
        </w:tc>
      </w:tr>
      <w:bookmarkEnd w:id="175"/>
      <w:bookmarkEnd w:id="176"/>
    </w:tbl>
    <w:p w14:paraId="69C6FB92">
      <w:pPr>
        <w:widowControl/>
        <w:spacing w:line="240" w:lineRule="auto"/>
        <w:rPr>
          <w:rFonts w:hint="default" w:ascii="方正小标宋简体" w:hAnsi="方正小标宋简体" w:eastAsia="方正小标宋简体" w:cs="方正小标宋简体"/>
          <w:sz w:val="32"/>
          <w:szCs w:val="32"/>
          <w:lang w:val="en-US" w:eastAsia="zh-CN"/>
        </w:rPr>
      </w:pPr>
    </w:p>
    <w:p w14:paraId="076048B2"/>
    <w:sectPr>
      <w:pgSz w:w="16838" w:h="11906" w:orient="landscape"/>
      <w:pgMar w:top="1587" w:right="2098" w:bottom="1474" w:left="1984" w:header="851" w:footer="992" w:gutter="0"/>
      <w:pgNumType w:fmt="numberInDash"/>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3CA010-6956-4AB7-8AB4-AF02EA4A47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49A6EED-EDBC-41A7-B019-20D537F9A55D}"/>
  </w:font>
  <w:font w:name="方正小标宋简体">
    <w:panose1 w:val="02010600010101010101"/>
    <w:charset w:val="86"/>
    <w:family w:val="auto"/>
    <w:pitch w:val="default"/>
    <w:sig w:usb0="00000001" w:usb1="080E0000" w:usb2="00000000" w:usb3="00000000" w:csb0="00040000" w:csb1="00000000"/>
    <w:embedRegular r:id="rId3" w:fontKey="{763EDF00-71F7-4043-BF3B-0636E54365D6}"/>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embedRegular r:id="rId4" w:fontKey="{82B675FC-193F-4813-AA3A-C99E7750E9D8}"/>
  </w:font>
  <w:font w:name="等线">
    <w:panose1 w:val="02010600030101010101"/>
    <w:charset w:val="86"/>
    <w:family w:val="auto"/>
    <w:pitch w:val="default"/>
    <w:sig w:usb0="A00002BF" w:usb1="38CF7CFA" w:usb2="00000016" w:usb3="00000000" w:csb0="0004000F" w:csb1="00000000"/>
  </w:font>
  <w:font w:name="方正楷体_GB2312">
    <w:panose1 w:val="02000000000000000000"/>
    <w:charset w:val="86"/>
    <w:family w:val="auto"/>
    <w:pitch w:val="default"/>
    <w:sig w:usb0="A00002BF" w:usb1="184F6CFA" w:usb2="00000012" w:usb3="00000000" w:csb0="00040001" w:csb1="00000000"/>
    <w:embedRegular r:id="rId5" w:fontKey="{E26B168A-89BA-4F09-AD87-F07B45B8F65C}"/>
  </w:font>
  <w:font w:name="方正楷体_GBK">
    <w:panose1 w:val="02000000000000000000"/>
    <w:charset w:val="86"/>
    <w:family w:val="script"/>
    <w:pitch w:val="default"/>
    <w:sig w:usb0="800002BF" w:usb1="38CF7CFA" w:usb2="00000016" w:usb3="00000000" w:csb0="00040000" w:csb1="00000000"/>
    <w:embedRegular r:id="rId6" w:fontKey="{3E332B04-35E8-410E-AF10-E044488B1EF8}"/>
  </w:font>
  <w:font w:name="楷体">
    <w:panose1 w:val="02010609060101010101"/>
    <w:charset w:val="86"/>
    <w:family w:val="modern"/>
    <w:pitch w:val="default"/>
    <w:sig w:usb0="800002BF" w:usb1="38CF7CFA" w:usb2="00000016" w:usb3="00000000" w:csb0="00040001" w:csb1="00000000"/>
    <w:embedRegular r:id="rId7" w:fontKey="{55C9ABD7-784A-444D-8CD4-D894CCC0E97E}"/>
  </w:font>
  <w:font w:name="仿宋_GB2312">
    <w:altName w:val="仿宋"/>
    <w:panose1 w:val="02010609030101010101"/>
    <w:charset w:val="86"/>
    <w:family w:val="auto"/>
    <w:pitch w:val="default"/>
    <w:sig w:usb0="00000000" w:usb1="00000000" w:usb2="00000000" w:usb3="00000000" w:csb0="00040000" w:csb1="00000000"/>
    <w:embedRegular r:id="rId8" w:fontKey="{70CAED90-6A42-4B41-B079-B6D5B47CED98}"/>
  </w:font>
  <w:font w:name="仿宋">
    <w:panose1 w:val="02010609060101010101"/>
    <w:charset w:val="86"/>
    <w:family w:val="modern"/>
    <w:pitch w:val="default"/>
    <w:sig w:usb0="800002BF" w:usb1="38CF7CFA" w:usb2="00000016" w:usb3="00000000" w:csb0="00040001" w:csb1="00000000"/>
    <w:embedRegular r:id="rId9" w:fontKey="{B0E0D1D3-B73C-430F-9976-2B48A1264B51}"/>
  </w:font>
  <w:font w:name="方正黑体_GBK">
    <w:panose1 w:val="02010600010101010101"/>
    <w:charset w:val="86"/>
    <w:family w:val="script"/>
    <w:pitch w:val="default"/>
    <w:sig w:usb0="00000001" w:usb1="080E0000" w:usb2="00000000" w:usb3="00000000" w:csb0="00040000" w:csb1="00000000"/>
    <w:embedRegular r:id="rId10" w:fontKey="{5F51B9EC-2D30-430C-BC33-E16C90A0508A}"/>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F873">
    <w:pPr>
      <w:pStyle w:val="6"/>
      <w:spacing w:line="560" w:lineRule="exact"/>
      <w:rPr>
        <w:rFonts w:hint="eastAsia"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412B5">
    <w:pPr>
      <w:pStyle w:val="6"/>
      <w:jc w:val="center"/>
      <w:rPr>
        <w:rFonts w:hint="eastAsia"/>
      </w:rPr>
    </w:pPr>
    <w:r>
      <w:fldChar w:fldCharType="begin"/>
    </w:r>
    <w:r>
      <w:instrText xml:space="preserve">PAGE   \* MERGEFORMAT</w:instrText>
    </w:r>
    <w:r>
      <w:fldChar w:fldCharType="separate"/>
    </w:r>
    <w:r>
      <w:rPr>
        <w:lang w:val="zh-CN"/>
      </w:rPr>
      <w:t>2</w:t>
    </w:r>
    <w:r>
      <w:fldChar w:fldCharType="end"/>
    </w:r>
  </w:p>
  <w:p w14:paraId="4CA8FB79">
    <w:pPr>
      <w:pStyle w:val="6"/>
      <w:jc w:val="right"/>
      <w:rPr>
        <w:rFonts w:hint="eastAsia"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AE10B">
    <w:pPr>
      <w:pStyle w:val="6"/>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6D339C">
                          <w:pPr>
                            <w:pStyle w:val="6"/>
                            <w:jc w:val="right"/>
                            <w:rPr>
                              <w:rFonts w:hint="eastAsia" w:ascii="宋体" w:hAnsi="宋体" w:eastAsia="宋体" w:cs="宋体"/>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PAGE   \* MERGEFORMAT</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zh-CN"/>
                            </w:rPr>
                            <w:t>2</w:t>
                          </w:r>
                          <w:r>
                            <w:rPr>
                              <w:rFonts w:hint="default" w:ascii="Times New Roman" w:hAnsi="Times New Roman" w:eastAsia="宋体" w:cs="Times New Roman"/>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14:paraId="626D339C">
                    <w:pPr>
                      <w:pStyle w:val="6"/>
                      <w:jc w:val="right"/>
                      <w:rPr>
                        <w:rFonts w:hint="eastAsia" w:ascii="宋体" w:hAnsi="宋体" w:eastAsia="宋体" w:cs="宋体"/>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PAGE   \* MERGEFORMAT</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zh-CN"/>
                      </w:rPr>
                      <w:t>2</w:t>
                    </w:r>
                    <w:r>
                      <w:rPr>
                        <w:rFonts w:hint="default" w:ascii="Times New Roman" w:hAnsi="Times New Roman" w:eastAsia="宋体" w:cs="Times New Roman"/>
                        <w:sz w:val="28"/>
                        <w:szCs w:val="28"/>
                      </w:rPr>
                      <w:fldChar w:fldCharType="end"/>
                    </w:r>
                  </w:p>
                </w:txbxContent>
              </v:textbox>
            </v:shape>
          </w:pict>
        </mc:Fallback>
      </mc:AlternateContent>
    </w:r>
  </w:p>
  <w:p w14:paraId="125363EB">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43E4F">
    <w:pPr>
      <w:pStyle w:val="6"/>
      <w:spacing w:line="560" w:lineRule="exact"/>
      <w:jc w:val="center"/>
      <w:rPr>
        <w:rFonts w:hint="eastAsia" w:ascii="Times New Roman" w:hAnsi="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11F378">
                          <w:pPr>
                            <w:pStyle w:val="6"/>
                            <w:spacing w:line="560" w:lineRule="exact"/>
                            <w:jc w:val="cente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14:paraId="4911F378">
                    <w:pPr>
                      <w:pStyle w:val="6"/>
                      <w:spacing w:line="560" w:lineRule="exact"/>
                      <w:jc w:val="cente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55DE9">
    <w:pPr>
      <w:pStyle w:val="6"/>
      <w:spacing w:line="560" w:lineRule="exact"/>
      <w:jc w:val="center"/>
      <w:rPr>
        <w:rFonts w:hint="eastAsia" w:ascii="Times New Roman" w:hAnsi="Times New Roman"/>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304326">
                          <w:pPr>
                            <w:pStyle w:val="6"/>
                            <w:spacing w:line="560" w:lineRule="exact"/>
                            <w:jc w:val="cente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14:paraId="0A304326">
                    <w:pPr>
                      <w:pStyle w:val="6"/>
                      <w:spacing w:line="560" w:lineRule="exact"/>
                      <w:jc w:val="cente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1068A">
    <w:pPr>
      <w:pStyle w:val="6"/>
      <w:spacing w:line="560" w:lineRule="exact"/>
      <w:jc w:val="right"/>
      <w:rPr>
        <w:rFonts w:hint="eastAsia"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900F">
    <w:pPr>
      <w:pStyle w:val="6"/>
      <w:spacing w:line="560" w:lineRule="exact"/>
      <w:rPr>
        <w:rFonts w:hint="eastAsia"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6FA90AC">
      <w:pPr>
        <w:pStyle w:val="8"/>
        <w:snapToGrid w:val="0"/>
        <w:rPr>
          <w:rFonts w:hint="default" w:eastAsia="宋体"/>
          <w:sz w:val="22"/>
          <w:szCs w:val="36"/>
          <w:lang w:val="en-US" w:eastAsia="zh-CN"/>
        </w:rPr>
      </w:pPr>
      <w:r>
        <w:rPr>
          <w:rStyle w:val="12"/>
          <w:sz w:val="22"/>
          <w:szCs w:val="36"/>
        </w:rPr>
        <w:footnoteRef/>
      </w:r>
      <w:r>
        <w:rPr>
          <w:sz w:val="22"/>
          <w:szCs w:val="36"/>
        </w:rPr>
        <w:t xml:space="preserve"> </w:t>
      </w:r>
      <w:r>
        <w:rPr>
          <w:rFonts w:hint="eastAsia"/>
          <w:sz w:val="22"/>
          <w:szCs w:val="36"/>
          <w:lang w:val="en-US" w:eastAsia="zh-CN"/>
        </w:rPr>
        <w:t>数据来源</w:t>
      </w:r>
      <w:r>
        <w:rPr>
          <w:rFonts w:hint="eastAsia"/>
          <w:sz w:val="22"/>
          <w:szCs w:val="36"/>
          <w:lang w:eastAsia="zh-CN"/>
        </w:rPr>
        <w:t>《</w:t>
      </w:r>
      <w:r>
        <w:rPr>
          <w:rFonts w:hint="eastAsia"/>
          <w:sz w:val="22"/>
          <w:szCs w:val="36"/>
          <w:lang w:val="en-US" w:eastAsia="zh-CN"/>
        </w:rPr>
        <w:t>昌都市“十五五”时期垃圾污水处理及资源化利用课题研究报告》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820CAE"/>
    <w:multiLevelType w:val="singleLevel"/>
    <w:tmpl w:val="C6820CAE"/>
    <w:lvl w:ilvl="0" w:tentative="0">
      <w:start w:val="1"/>
      <w:numFmt w:val="chineseCounting"/>
      <w:suff w:val="space"/>
      <w:lvlText w:val="第%1章"/>
      <w:lvlJc w:val="left"/>
      <w:rPr>
        <w:rFonts w:hint="eastAsia"/>
      </w:rPr>
    </w:lvl>
  </w:abstractNum>
  <w:abstractNum w:abstractNumId="1">
    <w:nsid w:val="CB87EA64"/>
    <w:multiLevelType w:val="singleLevel"/>
    <w:tmpl w:val="CB87EA64"/>
    <w:lvl w:ilvl="0" w:tentative="0">
      <w:start w:val="2"/>
      <w:numFmt w:val="chineseCounting"/>
      <w:suff w:val="nothing"/>
      <w:lvlText w:val="（%1）"/>
      <w:lvlJc w:val="left"/>
      <w:rPr>
        <w:rFonts w:hint="eastAsia"/>
      </w:rPr>
    </w:lvl>
  </w:abstractNum>
  <w:abstractNum w:abstractNumId="2">
    <w:nsid w:val="CE00BDF5"/>
    <w:multiLevelType w:val="singleLevel"/>
    <w:tmpl w:val="CE00BDF5"/>
    <w:lvl w:ilvl="0" w:tentative="0">
      <w:start w:val="1"/>
      <w:numFmt w:val="chineseCounting"/>
      <w:pStyle w:val="13"/>
      <w:suff w:val="nothing"/>
      <w:lvlText w:val="%1、"/>
      <w:lvlJc w:val="left"/>
      <w:rPr>
        <w:rFonts w:hint="eastAsia"/>
      </w:rPr>
    </w:lvl>
  </w:abstractNum>
  <w:abstractNum w:abstractNumId="3">
    <w:nsid w:val="E4E19C6D"/>
    <w:multiLevelType w:val="singleLevel"/>
    <w:tmpl w:val="E4E19C6D"/>
    <w:lvl w:ilvl="0" w:tentative="0">
      <w:start w:val="3"/>
      <w:numFmt w:val="chineseCounting"/>
      <w:suff w:val="nothing"/>
      <w:lvlText w:val="（%1）"/>
      <w:lvlJc w:val="left"/>
      <w:rPr>
        <w:rFonts w:hint="eastAsia"/>
      </w:rPr>
    </w:lvl>
  </w:abstractNum>
  <w:abstractNum w:abstractNumId="4">
    <w:nsid w:val="EAB37D19"/>
    <w:multiLevelType w:val="singleLevel"/>
    <w:tmpl w:val="EAB37D19"/>
    <w:lvl w:ilvl="0" w:tentative="0">
      <w:start w:val="3"/>
      <w:numFmt w:val="chineseCounting"/>
      <w:suff w:val="nothing"/>
      <w:lvlText w:val="（%1）"/>
      <w:lvlJc w:val="left"/>
      <w:rPr>
        <w:rFonts w:hint="eastAsia"/>
      </w:rPr>
    </w:lvl>
  </w:abstractNum>
  <w:abstractNum w:abstractNumId="5">
    <w:nsid w:val="196B0947"/>
    <w:multiLevelType w:val="singleLevel"/>
    <w:tmpl w:val="196B0947"/>
    <w:lvl w:ilvl="0" w:tentative="0">
      <w:start w:val="1"/>
      <w:numFmt w:val="decimal"/>
      <w:suff w:val="nothing"/>
      <w:lvlText w:val="%1"/>
      <w:lvlJc w:val="left"/>
      <w:pPr>
        <w:ind w:left="283" w:hanging="283"/>
      </w:pPr>
      <w:rPr>
        <w:rFonts w:hint="default"/>
      </w:rPr>
    </w:lvl>
  </w:abstractNum>
  <w:abstractNum w:abstractNumId="6">
    <w:nsid w:val="3FCF4C31"/>
    <w:multiLevelType w:val="singleLevel"/>
    <w:tmpl w:val="3FCF4C31"/>
    <w:lvl w:ilvl="0" w:tentative="0">
      <w:start w:val="4"/>
      <w:numFmt w:val="chineseCounting"/>
      <w:suff w:val="nothing"/>
      <w:lvlText w:val="（%1）"/>
      <w:lvlJc w:val="left"/>
      <w:rPr>
        <w:rFonts w:hint="eastAsia"/>
      </w:rPr>
    </w:lvl>
  </w:abstractNum>
  <w:abstractNum w:abstractNumId="7">
    <w:nsid w:val="4C6DB889"/>
    <w:multiLevelType w:val="singleLevel"/>
    <w:tmpl w:val="4C6DB889"/>
    <w:lvl w:ilvl="0" w:tentative="0">
      <w:start w:val="1"/>
      <w:numFmt w:val="chineseCounting"/>
      <w:suff w:val="nothing"/>
      <w:lvlText w:val="%1、"/>
      <w:lvlJc w:val="left"/>
      <w:rPr>
        <w:rFonts w:hint="eastAsia"/>
      </w:rPr>
    </w:lvl>
  </w:abstractNum>
  <w:abstractNum w:abstractNumId="8">
    <w:nsid w:val="5EE1AD5A"/>
    <w:multiLevelType w:val="singleLevel"/>
    <w:tmpl w:val="5EE1AD5A"/>
    <w:lvl w:ilvl="0" w:tentative="0">
      <w:start w:val="1"/>
      <w:numFmt w:val="chineseCounting"/>
      <w:suff w:val="nothing"/>
      <w:lvlText w:val="%1、"/>
      <w:lvlJc w:val="left"/>
      <w:rPr>
        <w:rFonts w:hint="eastAsia"/>
      </w:rPr>
    </w:lvl>
  </w:abstractNum>
  <w:num w:numId="1">
    <w:abstractNumId w:val="2"/>
  </w:num>
  <w:num w:numId="2">
    <w:abstractNumId w:val="0"/>
  </w:num>
  <w:num w:numId="3">
    <w:abstractNumId w:val="8"/>
  </w:num>
  <w:num w:numId="4">
    <w:abstractNumId w:val="4"/>
  </w:num>
  <w:num w:numId="5">
    <w:abstractNumId w:val="1"/>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F5C2686"/>
    <w:rsid w:val="59085A0E"/>
    <w:rsid w:val="76DC6B5D"/>
    <w:rsid w:val="7C644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576" w:lineRule="exact"/>
      <w:jc w:val="center"/>
      <w:outlineLvl w:val="0"/>
    </w:pPr>
    <w:rPr>
      <w:rFonts w:eastAsia="宋体" w:asciiTheme="minorAscii" w:hAnsiTheme="minorAscii"/>
      <w:b/>
      <w:kern w:val="44"/>
      <w:sz w:val="44"/>
    </w:rPr>
  </w:style>
  <w:style w:type="paragraph" w:styleId="4">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cs="Times New Roman"/>
      <w:sz w:val="24"/>
      <w:szCs w:val="24"/>
    </w:r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footer"/>
    <w:basedOn w:val="1"/>
    <w:uiPriority w:val="99"/>
    <w:pPr>
      <w:tabs>
        <w:tab w:val="center" w:pos="4153"/>
        <w:tab w:val="right" w:pos="8306"/>
      </w:tabs>
      <w:snapToGrid w:val="0"/>
      <w:jc w:val="left"/>
    </w:pPr>
    <w:rPr>
      <w:sz w:val="18"/>
      <w:szCs w:val="18"/>
    </w:rPr>
  </w:style>
  <w:style w:type="paragraph" w:styleId="7">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paragraph" w:styleId="8">
    <w:name w:val="footnote text"/>
    <w:basedOn w:val="1"/>
    <w:qFormat/>
    <w:uiPriority w:val="0"/>
    <w:pPr>
      <w:snapToGrid w:val="0"/>
      <w:jc w:val="left"/>
    </w:pPr>
    <w:rPr>
      <w:sz w:val="18"/>
    </w:rPr>
  </w:style>
  <w:style w:type="paragraph" w:styleId="9">
    <w:name w:val="toc 2"/>
    <w:basedOn w:val="1"/>
    <w:next w:val="1"/>
    <w:unhideWhenUsed/>
    <w:qFormat/>
    <w:uiPriority w:val="39"/>
    <w:pPr>
      <w:widowControl/>
      <w:spacing w:after="100" w:line="259" w:lineRule="auto"/>
      <w:ind w:left="220"/>
      <w:jc w:val="left"/>
    </w:pPr>
    <w:rPr>
      <w:rFonts w:ascii="等线" w:hAnsi="等线" w:eastAsia="等线"/>
      <w:kern w:val="0"/>
      <w:sz w:val="22"/>
      <w:szCs w:val="22"/>
    </w:rPr>
  </w:style>
  <w:style w:type="character" w:styleId="12">
    <w:name w:val="footnote reference"/>
    <w:basedOn w:val="11"/>
    <w:qFormat/>
    <w:uiPriority w:val="0"/>
    <w:rPr>
      <w:vertAlign w:val="superscript"/>
    </w:rPr>
  </w:style>
  <w:style w:type="paragraph" w:customStyle="1" w:styleId="13">
    <w:name w:val="题目"/>
    <w:basedOn w:val="1"/>
    <w:qFormat/>
    <w:uiPriority w:val="0"/>
    <w:pPr>
      <w:widowControl/>
      <w:numPr>
        <w:ilvl w:val="0"/>
        <w:numId w:val="1"/>
      </w:numPr>
      <w:adjustRightInd w:val="0"/>
      <w:snapToGrid w:val="0"/>
      <w:spacing w:after="0" w:line="640" w:lineRule="exact"/>
      <w:jc w:val="center"/>
      <w:outlineLvl w:val="0"/>
    </w:pPr>
    <w:rPr>
      <w:rFonts w:eastAsia="方正小标宋简体"/>
      <w:sz w:val="44"/>
      <w:szCs w:val="32"/>
    </w:rPr>
  </w:style>
  <w:style w:type="paragraph" w:customStyle="1" w:styleId="14">
    <w:name w:val="_Style 7"/>
    <w:basedOn w:val="3"/>
    <w:next w:val="1"/>
    <w:qFormat/>
    <w:uiPriority w:val="39"/>
    <w:pPr>
      <w:widowControl/>
      <w:spacing w:after="0" w:line="259" w:lineRule="auto"/>
      <w:jc w:val="left"/>
      <w:outlineLvl w:val="9"/>
    </w:pPr>
    <w:rPr>
      <w:rFonts w:ascii="等线 Light" w:hAnsi="等线 Light" w:eastAsia="等线 Light" w:cs="Times New Roman"/>
      <w:b w:val="0"/>
      <w:color w:val="2F5496"/>
      <w:kern w:val="0"/>
      <w:sz w:val="32"/>
      <w:szCs w:val="32"/>
    </w:rPr>
  </w:style>
  <w:style w:type="paragraph" w:customStyle="1" w:styleId="15">
    <w:name w:val="正文首行缩进 21"/>
    <w:basedOn w:val="16"/>
    <w:qFormat/>
    <w:uiPriority w:val="0"/>
    <w:pPr>
      <w:ind w:firstLine="420" w:firstLineChars="200"/>
    </w:pPr>
  </w:style>
  <w:style w:type="paragraph" w:customStyle="1" w:styleId="16">
    <w:name w:val="正文文本缩进1"/>
    <w:basedOn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2023-12-15T01:50:00Z</dcterms:created>
  <dc:creator>Administrator</dc:creator>
  <cp:lastModifiedBy>棟棟</cp:lastModifiedBy>
  <dcterms:modified xsi:type="dcterms:W3CDTF">2026-06-25T08:35:41Z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E35F3ED122BF44209C4E91188A7AE1B2_12</vt:lpwstr>
  </property>
  <property fmtid="{D5CDD505-2E9C-101B-9397-08002B2CF9AE}" pid="4" name="KSOTemplateDocerSaveRecord">
    <vt:lpwstr>eyJoZGlkIjoiMGRmNDZiMDNmOWQ3MzcyYWY4MzRlYmJiMjk0NjUyYmYiLCJ1c2VySWQiOiIxMTAyNjY5OTQwIn0=</vt:lpwstr>
  </property>
</Properties>
</file>