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西藏丁青县巴达乡人民政府机关2024年度部门决算公开报告</w:t>
      </w:r>
    </w:p>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（公开文字说明参考模板）</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7"/>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704_WPSOffice_Level1"/>
      <w:bookmarkStart w:id="3" w:name="_Toc32433_WPSOffice_Level1"/>
      <w:bookmarkStart w:id="4" w:name="_Toc10049_WPSOffice_Level1"/>
      <w:bookmarkStart w:id="5" w:name="_Toc10720_WPSOffice_Level1"/>
      <w:bookmarkStart w:id="6" w:name="_Toc22941_WPSOffice_Level1"/>
      <w:bookmarkStart w:id="7" w:name="_Toc23465_WPSOffice_Level1"/>
      <w:bookmarkStart w:id="8" w:name="_Toc24238_WPSOffice_Level2"/>
      <w:bookmarkStart w:id="9" w:name="_Toc14159_WPSOffice_Level2"/>
      <w:bookmarkStart w:id="10" w:name="_Toc32622_WPSOffice_Level2"/>
      <w:bookmarkStart w:id="11" w:name="_Toc26580_WPSOffice_Level2"/>
      <w:bookmarkStart w:id="12" w:name="_Toc20274_WPSOffice_Level2"/>
      <w:bookmarkStart w:id="13" w:name="_Toc2020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巴达乡是隶属于丁青县党委和人民政府领导下的一个分设乡，且具有乡党委和乡人民政府所拥有的权利和义务.</w:t>
      </w:r>
      <w:r>
        <w:rPr>
          <w:rFonts w:hint="eastAsia" w:ascii="仿宋" w:hAnsi="仿宋" w:eastAsia="仿宋" w:cs="仿宋"/>
          <w:color w:val="000000"/>
          <w:sz w:val="32"/>
          <w:szCs w:val="32"/>
        </w:rPr>
        <w:t>党委领导政府工作。</w:t>
      </w:r>
    </w:p>
    <w:p>
      <w:pPr>
        <w:numPr>
          <w:ilvl w:val="0"/>
          <w:numId w:val="0"/>
        </w:numPr>
        <w:snapToGrid w:val="0"/>
        <w:spacing w:line="52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党委领导政府工作。1.1宣传和贯彻执行党的路线方针政策和党中央、上级党组织及本乡镇党员代表大会（党员大会）的决议。1.2讨论和决定本乡镇经济建设、政治建设、文化建设、社会建设、生态文明建设和党的建设以及乡村振兴中的重大问题。需由乡镇政权机关或者集体经济组织决定的重要事项，经乡镇党委研究讨论后，由乡镇政权机关或者集体经济组织依照法律和有关规定作出决定。1.3领导乡镇政权机关、群团组织和其他各类组织，加强指导和规范，支持和保证这些机关和组织依照国家法律法规以及各自章程履行职责。1.4加强乡镇党委自身建设和村党组织建设，以及其他隶属乡镇党委的党组织建设，抓好发展党员工作，加强党员队伍建设。维护和执行党的纪律，监督党员干部和其他任何工作人员严格遵守国家法律法规。1.5按照干部管理权限，负责对干部的教育、培训、选拔、考核和监督工作。协助管理上级有关部门驻乡镇单位的干部。做好人才服务和引进工作。1.6领导本乡镇的基层治理，加强社会主义民主法治建设和精神文明建设，加强社会治安综合治理，做好生态环保、美丽乡村建设、民生保障、脱贫致富、民族宗教等工作。</w:t>
      </w:r>
    </w:p>
    <w:p>
      <w:pPr>
        <w:numPr>
          <w:ilvl w:val="0"/>
          <w:numId w:val="0"/>
        </w:numPr>
        <w:snapToGrid w:val="0"/>
        <w:spacing w:line="52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乡人大主席团。1.1实施法律监督，开展执法检查，确保宪法、法律、法规在本行政区域内的贯彻、执行。1.2加强对乡人民政府及其组成部门和县属有关部门驻乡单位的工作监督、调查、视察和评议。1.3听取和审议本级人民政府的经济、教育、科学、文化、卫生、民政、民族、社会治安等工作情况的报告，监督本级人民政府的工作。1.4根据本级人民政府的建议，决定对本行政区域内的国民经济和社会发展计划，财政预算的部分变更。1.5检查、督促本级人民政府及有关单位办理本级人民代表大会代表提出的建议、批评、意见。1.6组织本级人民代表大会代表对本级国家机关和有关单位的工作进行评议和视察。1.7联系本级人民代表大会代表和接受上一级人民代表大会常务委员会的委托，联系本行政区域内的上级人民代表大会的代表，组织代表小组开展活动。1.8受理人民群众对本级国家机关和工作人员的申述和意见。1.9受理乡镇人大主席团成员、乡（镇）长、副乡（镇）长的辞职；决定接受辞职，报本级人民代表大会备案。1.10在人大主席辞职被接受或者因故不能担任职务的时候，从主席团成员中决定代理的人选；在乡（镇）长辞职被接受或者因故不能担任职务的时候，从副乡(镇）长决定代理的人选。1.11受理本级人民代表大会代表的辞职；决定接受辞职的，通告该代表的原选区选民，并报本级人民代表大会备案。1.12主持选区罢免和补选本级人民代表大会代表的工作。1.13根据本级代表资格审查委员会的报告，确认下届当选代表和本届补选代表的资格，予以公告，分别向下属和本届本级人民代表大会报告。1.14决定召开本级人民代表大会的时间和列席会议的人员名单。1.15办理本级人民代表大会和上级人民代表大会常务委员会交付的其他工作。</w:t>
      </w:r>
    </w:p>
    <w:p>
      <w:pPr>
        <w:numPr>
          <w:ilvl w:val="0"/>
          <w:numId w:val="0"/>
        </w:numPr>
        <w:snapToGrid w:val="0"/>
        <w:spacing w:line="52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（三）乡人民政府。</w:t>
      </w:r>
      <w:r>
        <w:rPr>
          <w:rFonts w:hint="eastAsia" w:ascii="仿宋" w:hAnsi="仿宋" w:eastAsia="仿宋" w:cs="仿宋"/>
          <w:color w:val="000000"/>
          <w:sz w:val="32"/>
          <w:szCs w:val="32"/>
        </w:rPr>
        <w:t>执行本级人民代表大会决议以及上级行政机关的决定和命令。开展全乡社会经济发展计划,管理本乡经济、教育、宣传、文化卫生、体育事业和财政、民政、治安、人民调解、安全生产监督管理等行政工作。维护社会主义的全民所有财产和劳动群众集体所有财产,保护公民私人所有的合法财产,维护社会秩序,保障公民的人身的权利、民主权利和其他权利。保护各种经济组织的合法权益。</w:t>
      </w:r>
      <w:r>
        <w:rPr>
          <w:rFonts w:hint="eastAsia" w:ascii="仿宋" w:hAnsi="仿宋" w:eastAsia="仿宋" w:cs="仿宋"/>
          <w:color w:val="000000"/>
          <w:sz w:val="32"/>
          <w:szCs w:val="32"/>
          <w:shd w:val="clear" w:color="auto" w:fill="FFFFFF"/>
        </w:rPr>
        <w:t>贯彻执行党和国家的民族宗教政策，保障少数民族的权利和尊重少数民族的风俗习惯，尊重民族宗教信仰。保障宪法和法律赋予妇女的男女平等、婚姻自由等各项权利。</w:t>
      </w:r>
      <w:r>
        <w:rPr>
          <w:rFonts w:hint="eastAsia" w:ascii="仿宋" w:hAnsi="仿宋" w:eastAsia="仿宋" w:cs="仿宋"/>
          <w:color w:val="000000"/>
          <w:sz w:val="32"/>
          <w:szCs w:val="32"/>
          <w:shd w:val="clear" w:color="auto" w:fill="FFFFFF"/>
          <w:lang w:eastAsia="zh-CN"/>
        </w:rPr>
        <w:t>乡政府的内设机构如下：</w:t>
      </w:r>
    </w:p>
    <w:p>
      <w:pPr>
        <w:pStyle w:val="7"/>
        <w:widowControl/>
        <w:numPr>
          <w:ilvl w:val="0"/>
          <w:numId w:val="0"/>
        </w:numPr>
        <w:shd w:val="clear" w:color="auto" w:fill="FFFFFF"/>
        <w:tabs>
          <w:tab w:val="left" w:pos="928"/>
        </w:tabs>
        <w:spacing w:beforeAutospacing="0" w:after="225" w:afterAutospacing="0" w:line="360" w:lineRule="atLeast"/>
        <w:ind w:firstLine="640" w:firstLineChars="200"/>
        <w:jc w:val="both"/>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val="en-US" w:eastAsia="zh-CN"/>
        </w:rPr>
        <w:t>1.1</w:t>
      </w:r>
      <w:r>
        <w:rPr>
          <w:rFonts w:hint="eastAsia" w:ascii="仿宋" w:hAnsi="仿宋" w:eastAsia="仿宋" w:cs="仿宋"/>
          <w:b w:val="0"/>
          <w:bCs w:val="0"/>
          <w:color w:val="000000"/>
          <w:sz w:val="32"/>
          <w:szCs w:val="32"/>
          <w:shd w:val="clear" w:color="auto" w:fill="FFFFFF"/>
        </w:rPr>
        <w:t>党政办的主要职责：第一、围绕乡党委、政府的总体工作部署，组织调查研究进行督促检查，收集反馈信息，综合重要情况，为乡党委、政府决策服务；第二、承担镇党委、政府文件、文稿的起草、修改、校核工作，承办镇属各部门单位、各村报送镇党委、政府的申请、请示、报告；第三、负责乡党委、政府机关的文件、电报、信函的日常文书处理和保密及文件、内部资料的印制、分发、清退、归档工作；负责党委、政府办公室的办公自动化及无线电管理工作；第四、负责乡党委、政府各种会议的安排、组织和会务工作；第五、负责乡政府法制工作，协调、办理人大代表建议、批评和意见工作；第六、负责乡党委、政府机关的安全保卫工作；第七、负责乡党委、政府办公室的人事管理、思想政治、精神文明建设工作；负责财务、财产、规划、环境卫生、后勤服务等行政管理工作；负责党委、政府接待工作；第八、协调做好人民群众的来信来访工作；第九、办理党委、政府领导交办的其它事项。</w:t>
      </w:r>
    </w:p>
    <w:p>
      <w:pPr>
        <w:pStyle w:val="7"/>
        <w:widowControl/>
        <w:numPr>
          <w:ilvl w:val="0"/>
          <w:numId w:val="0"/>
        </w:numPr>
        <w:shd w:val="clear" w:color="auto" w:fill="FFFFFF"/>
        <w:tabs>
          <w:tab w:val="left" w:pos="928"/>
        </w:tabs>
        <w:spacing w:beforeAutospacing="0" w:after="225" w:afterAutospacing="0" w:line="360" w:lineRule="atLeast"/>
        <w:ind w:firstLine="640" w:firstLineChars="200"/>
        <w:jc w:val="both"/>
        <w:rPr>
          <w:rFonts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val="en-US" w:eastAsia="zh-CN"/>
        </w:rPr>
        <w:t>1.</w:t>
      </w:r>
      <w:r>
        <w:rPr>
          <w:rFonts w:hint="eastAsia" w:ascii="仿宋" w:hAnsi="仿宋" w:eastAsia="仿宋" w:cs="仿宋"/>
          <w:b w:val="0"/>
          <w:bCs w:val="0"/>
          <w:color w:val="000000"/>
          <w:sz w:val="32"/>
          <w:szCs w:val="32"/>
          <w:shd w:val="clear" w:color="auto" w:fill="FFFFFF"/>
        </w:rPr>
        <w:t>2纪委办的主要职责：第一、监督检查乡党政领导班子及其成员贯彻执行党的路线方针政策、遵守党内法规和执行上级党委决定、落实党风廉政建设责任制、贯彻执行民主集中制、遵守廉洁自律各项规定的情况。第二、对党员领导干部行使权力进行监督，监督检查党的各项强农惠农政策落实情况，扶贫资金项目、其他涉农项目和专项资金管理使用情况，集体资金、资产和资源管理情况，切实纠正损害群众利益的突出问题。第三、协助乡党委加强乡党风廉政建设和反腐败工作。坚持教育、制度、监督、改革、纠风、惩治相结合，推进农村、社区惩治和预防腐败体系建设、农村、社区廉政文化建设。第四、协助乡党政领导班子抓好党务、政务、村(居)务公开工作和其他便民利民措施的落实，指导农村、社区纪检监督小组开展工作。第五、受理群众信访举报，按照干部管理权限调查和处理所属辖区内党组织和党员违反党章和其他党内法规的案件，决定和取消涉案党员的处分；对受处分党员干部回访教育。第六、受理职责范围内的控告和申诉，尊重和保障党员权利；认真解决群众合理诉求，维护群众合法权益。第七、对辖区内党员干部进行反腐倡廉教育，组织开展农村、社区廉政文化建设。第八、抓好纪检监察干部队伍自身建设。</w:t>
      </w:r>
    </w:p>
    <w:p>
      <w:pPr>
        <w:pStyle w:val="7"/>
        <w:widowControl/>
        <w:shd w:val="clear" w:color="auto" w:fill="FFFFFF"/>
        <w:tabs>
          <w:tab w:val="left" w:pos="928"/>
        </w:tabs>
        <w:spacing w:beforeAutospacing="0" w:after="225" w:afterAutospacing="0" w:line="360" w:lineRule="atLeast"/>
        <w:ind w:firstLine="640" w:firstLineChars="200"/>
        <w:jc w:val="both"/>
        <w:rPr>
          <w:rFonts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lang w:val="en-US" w:eastAsia="zh-CN"/>
        </w:rPr>
        <w:t>1.</w:t>
      </w:r>
      <w:r>
        <w:rPr>
          <w:rFonts w:hint="eastAsia" w:ascii="仿宋" w:hAnsi="仿宋" w:eastAsia="仿宋" w:cs="仿宋"/>
          <w:b w:val="0"/>
          <w:bCs w:val="0"/>
          <w:sz w:val="32"/>
          <w:szCs w:val="32"/>
          <w:shd w:val="clear" w:color="auto" w:fill="FFFFFF"/>
        </w:rPr>
        <w:t>3农牧办及精准扶贫办的主要职责：建立健全农业社会化服务体系，做好农业技术推广工作，为农民增收提供服务;负责种植业技术、良种推广等业务指导和培训，搞好种植业结构调整，管好种子和农药市场;搞好农村水利工程规划、勘测和设计，水利新技术推广示范，合理开发利用水资源，做好防汛、抗旱和水利设施管护工作;组织畜禽引进，引导畜禽产业结构调整和资源合理配置，大力发展龙型经济，搞好畜牧技术推广，提高畜产品市场竞争力;抓好农机技术培训与推广，农机牌证管理和农机安全使用工作，乡镇农业办工作职责。负责发布科技致富信息、经济发展信息以及各种劳务用工信息，提供科技、信息服务，提高农民的科技水平和文化素质;为农民搞好产前、产中、产后服务，联系和发展市尝农村经济合作组织及产业协会等市场主体，帮助农民规避市场风险。</w:t>
      </w:r>
    </w:p>
    <w:p>
      <w:pPr>
        <w:pStyle w:val="7"/>
        <w:widowControl/>
        <w:shd w:val="clear" w:color="auto" w:fill="FFFFFF"/>
        <w:tabs>
          <w:tab w:val="left" w:pos="928"/>
        </w:tabs>
        <w:spacing w:beforeAutospacing="0" w:after="225" w:afterAutospacing="0" w:line="360" w:lineRule="atLeast"/>
        <w:ind w:firstLine="640" w:firstLineChars="200"/>
        <w:jc w:val="both"/>
        <w:rPr>
          <w:rFonts w:ascii="仿宋" w:hAnsi="仿宋" w:eastAsia="仿宋" w:cs="仿宋"/>
          <w:b w:val="0"/>
          <w:bCs w:val="0"/>
          <w:color w:val="3C3C3C"/>
          <w:sz w:val="32"/>
          <w:szCs w:val="32"/>
        </w:rPr>
      </w:pPr>
      <w:r>
        <w:rPr>
          <w:rFonts w:hint="eastAsia" w:ascii="仿宋" w:hAnsi="仿宋" w:eastAsia="仿宋" w:cs="仿宋"/>
          <w:b w:val="0"/>
          <w:bCs w:val="0"/>
          <w:sz w:val="32"/>
          <w:szCs w:val="32"/>
          <w:shd w:val="clear" w:color="auto" w:fill="FFFFFF"/>
          <w:lang w:val="en-US" w:eastAsia="zh-CN"/>
        </w:rPr>
        <w:t>1.</w:t>
      </w:r>
      <w:r>
        <w:rPr>
          <w:rFonts w:hint="eastAsia" w:ascii="仿宋" w:hAnsi="仿宋" w:eastAsia="仿宋" w:cs="仿宋"/>
          <w:b w:val="0"/>
          <w:bCs w:val="0"/>
          <w:sz w:val="32"/>
          <w:szCs w:val="32"/>
          <w:shd w:val="clear" w:color="auto" w:fill="FFFFFF"/>
        </w:rPr>
        <w:t>4宣传委员及精神文明办的主要职责：</w:t>
      </w:r>
      <w:r>
        <w:rPr>
          <w:rFonts w:hint="eastAsia" w:ascii="仿宋" w:hAnsi="仿宋" w:eastAsia="仿宋" w:cs="仿宋"/>
          <w:b w:val="0"/>
          <w:bCs w:val="0"/>
          <w:color w:val="3C3C3C"/>
          <w:sz w:val="32"/>
          <w:szCs w:val="32"/>
          <w:shd w:val="clear" w:color="auto" w:fill="FFFFFF"/>
        </w:rPr>
        <w:t>在县委、乡委的集体领导下，宣传委员的主要职责是；第一、了解党内外的思想状况，提出宣传教育的工作的意见，拟定和提出学习计划和建议。第二、组织党员学习马列主义、毛泽东思想、邓小平理论、"三个代表"重要思想和时事政治、政策以及党章、党的基本知识。第三、根据上级党委指示，围绕每个时期的工作任务，开展宣传教育工作。</w:t>
      </w:r>
    </w:p>
    <w:p>
      <w:pPr>
        <w:pStyle w:val="7"/>
        <w:widowControl/>
        <w:shd w:val="clear" w:color="auto" w:fill="FFFFFF"/>
        <w:spacing w:beforeAutospacing="0" w:afterAutospacing="0" w:line="432" w:lineRule="atLeast"/>
        <w:rPr>
          <w:rFonts w:ascii="仿宋" w:hAnsi="仿宋" w:eastAsia="仿宋" w:cs="仿宋"/>
          <w:b w:val="0"/>
          <w:bCs w:val="0"/>
          <w:color w:val="3C3C3C"/>
          <w:sz w:val="32"/>
          <w:szCs w:val="32"/>
        </w:rPr>
      </w:pPr>
      <w:r>
        <w:rPr>
          <w:rFonts w:hint="eastAsia" w:ascii="仿宋" w:hAnsi="仿宋" w:eastAsia="仿宋" w:cs="仿宋"/>
          <w:b w:val="0"/>
          <w:bCs w:val="0"/>
          <w:color w:val="3C3C3C"/>
          <w:sz w:val="32"/>
          <w:szCs w:val="32"/>
          <w:shd w:val="clear" w:color="auto" w:fill="FFFFFF"/>
        </w:rPr>
        <w:t>第四、指导本单位的群众学习科学技术、文化知识，组织开展文化体育活动。</w:t>
      </w:r>
    </w:p>
    <w:p>
      <w:pPr>
        <w:pStyle w:val="7"/>
        <w:widowControl/>
        <w:shd w:val="clear" w:color="auto" w:fill="FFFFFF"/>
        <w:tabs>
          <w:tab w:val="left" w:pos="928"/>
        </w:tabs>
        <w:spacing w:beforeAutospacing="0" w:after="225" w:afterAutospacing="0" w:line="360" w:lineRule="atLeast"/>
        <w:ind w:firstLine="640" w:firstLineChars="200"/>
        <w:jc w:val="both"/>
        <w:rPr>
          <w:rFonts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val="en-US" w:eastAsia="zh-CN"/>
        </w:rPr>
        <w:t>1.</w:t>
      </w:r>
      <w:r>
        <w:rPr>
          <w:rFonts w:hint="eastAsia" w:ascii="仿宋" w:hAnsi="仿宋" w:eastAsia="仿宋" w:cs="仿宋"/>
          <w:b w:val="0"/>
          <w:bCs w:val="0"/>
          <w:color w:val="000000"/>
          <w:sz w:val="32"/>
          <w:szCs w:val="32"/>
          <w:shd w:val="clear" w:color="auto" w:fill="FFFFFF"/>
        </w:rPr>
        <w:t>5综治办的主要职责：第一、维护全乡社会治安秩序、保护公民的人身安全、人身自由和合法财产,保护公共财产,预防、制止和惩治违法犯罪活动。第二、认真排查矛盾纠纷,充分发挥人民调解、行政调解、司法去调解的作用,积极开展调处工作。第三、深入开展创安活动。指导、配合有关部门加强对辖区内要害部位、特种行业的安全防范,以及对枪支弹药、爆炸物品、有毒有温害物品的管理工作。第四、着力解决影响社会治安的深层次问题。第五、加强对外来人口的管理,减少外来人口的违法犯罪,强化社会治安。第六、检查辖区内各村、部门综合治理工作。</w:t>
      </w:r>
      <w:r>
        <w:rPr>
          <w:rFonts w:hint="eastAsia" w:ascii="仿宋" w:hAnsi="仿宋" w:eastAsia="仿宋" w:cs="仿宋"/>
          <w:b w:val="0"/>
          <w:bCs w:val="0"/>
          <w:color w:val="000000"/>
          <w:sz w:val="32"/>
          <w:szCs w:val="32"/>
          <w:shd w:val="clear" w:color="auto" w:fill="FFFFFF"/>
          <w:lang w:val="en-US" w:eastAsia="zh-CN"/>
        </w:rPr>
        <w:t>第七</w:t>
      </w:r>
      <w:r>
        <w:rPr>
          <w:rFonts w:hint="eastAsia" w:ascii="仿宋" w:hAnsi="仿宋" w:eastAsia="仿宋" w:cs="仿宋"/>
          <w:b w:val="0"/>
          <w:bCs w:val="0"/>
          <w:color w:val="000000"/>
          <w:sz w:val="32"/>
          <w:szCs w:val="32"/>
          <w:shd w:val="clear" w:color="auto" w:fill="FFFFFF"/>
        </w:rPr>
        <w:t>、办理上级综治委交办的有关综合治理工作的其它事项。</w:t>
      </w:r>
    </w:p>
    <w:p>
      <w:pPr>
        <w:pStyle w:val="7"/>
        <w:widowControl/>
        <w:shd w:val="clear" w:color="auto" w:fill="FFFFFF"/>
        <w:spacing w:beforeAutospacing="0" w:after="225" w:afterAutospacing="0" w:line="360" w:lineRule="atLeast"/>
        <w:ind w:firstLine="640" w:firstLineChars="200"/>
        <w:jc w:val="both"/>
        <w:rPr>
          <w:rFonts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lang w:val="en-US" w:eastAsia="zh-CN"/>
        </w:rPr>
        <w:t>1.</w:t>
      </w:r>
      <w:r>
        <w:rPr>
          <w:rFonts w:hint="eastAsia" w:ascii="仿宋" w:hAnsi="仿宋" w:eastAsia="仿宋" w:cs="仿宋"/>
          <w:b w:val="0"/>
          <w:bCs w:val="0"/>
          <w:color w:val="000000"/>
          <w:sz w:val="32"/>
          <w:szCs w:val="32"/>
          <w:shd w:val="clear" w:color="auto" w:fill="FFFFFF"/>
        </w:rPr>
        <w:t>6强基办的主要职责：按照自治区、昌都市、丁青县强基办的要求,督促各驻村工作队完成各项任务。</w:t>
      </w:r>
    </w:p>
    <w:p>
      <w:pPr>
        <w:pStyle w:val="7"/>
        <w:widowControl/>
        <w:shd w:val="clear" w:color="auto" w:fill="FFFFFF"/>
        <w:tabs>
          <w:tab w:val="left" w:pos="928"/>
        </w:tabs>
        <w:spacing w:beforeAutospacing="0" w:after="225" w:afterAutospacing="0" w:line="360" w:lineRule="atLeast"/>
        <w:ind w:firstLine="640" w:firstLineChars="200"/>
        <w:jc w:val="both"/>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1.</w:t>
      </w:r>
      <w:r>
        <w:rPr>
          <w:rFonts w:hint="eastAsia" w:ascii="仿宋" w:hAnsi="仿宋" w:eastAsia="仿宋" w:cs="仿宋"/>
          <w:b w:val="0"/>
          <w:bCs w:val="0"/>
          <w:sz w:val="32"/>
          <w:szCs w:val="32"/>
          <w:shd w:val="clear" w:color="auto" w:fill="FFFFFF"/>
        </w:rPr>
        <w:t>7</w:t>
      </w:r>
      <w:r>
        <w:rPr>
          <w:rFonts w:hint="eastAsia" w:ascii="仿宋" w:hAnsi="仿宋" w:eastAsia="仿宋" w:cs="仿宋"/>
          <w:b w:val="0"/>
          <w:bCs w:val="0"/>
          <w:sz w:val="32"/>
          <w:szCs w:val="32"/>
          <w:shd w:val="clear" w:color="auto" w:fill="FFFFFF"/>
          <w:lang w:val="en-US" w:eastAsia="zh-CN"/>
        </w:rPr>
        <w:t>社会事务办</w:t>
      </w:r>
      <w:r>
        <w:rPr>
          <w:rFonts w:hint="eastAsia" w:ascii="仿宋" w:hAnsi="仿宋" w:eastAsia="仿宋" w:cs="仿宋"/>
          <w:b w:val="0"/>
          <w:bCs w:val="0"/>
          <w:sz w:val="32"/>
          <w:szCs w:val="32"/>
          <w:shd w:val="clear" w:color="auto" w:fill="FFFFFF"/>
        </w:rPr>
        <w:t>的主要职责：</w:t>
      </w:r>
      <w:r>
        <w:rPr>
          <w:rFonts w:hint="eastAsia" w:ascii="仿宋" w:hAnsi="仿宋" w:eastAsia="仿宋" w:cs="仿宋"/>
          <w:b w:val="0"/>
          <w:bCs w:val="0"/>
          <w:sz w:val="32"/>
          <w:szCs w:val="32"/>
          <w:shd w:val="clear" w:color="auto" w:fill="FFFFFF"/>
          <w:lang w:val="en-US" w:eastAsia="zh-CN"/>
        </w:rPr>
        <w:t>乡镇社会事务办主要负责民政、养老、医保等社会事务工作。</w:t>
      </w:r>
    </w:p>
    <w:p>
      <w:pPr>
        <w:pStyle w:val="7"/>
        <w:widowControl/>
        <w:shd w:val="clear" w:color="auto" w:fill="FFFFFF"/>
        <w:tabs>
          <w:tab w:val="left" w:pos="928"/>
        </w:tabs>
        <w:spacing w:beforeAutospacing="0" w:after="225" w:afterAutospacing="0" w:line="360" w:lineRule="atLeast"/>
        <w:ind w:firstLine="640" w:firstLineChars="200"/>
        <w:jc w:val="both"/>
        <w:rPr>
          <w:rFonts w:ascii="仿宋" w:hAnsi="仿宋" w:eastAsia="仿宋" w:cs="仿宋"/>
          <w:color w:val="FF0000"/>
          <w:sz w:val="32"/>
          <w:szCs w:val="32"/>
          <w:shd w:val="clear" w:color="auto" w:fill="FFFFFF"/>
        </w:rPr>
      </w:pPr>
      <w:r>
        <w:rPr>
          <w:rFonts w:hint="eastAsia" w:ascii="仿宋" w:hAnsi="仿宋" w:eastAsia="仿宋" w:cs="仿宋"/>
          <w:b w:val="0"/>
          <w:bCs w:val="0"/>
          <w:sz w:val="32"/>
          <w:szCs w:val="32"/>
          <w:shd w:val="clear" w:color="auto" w:fill="FFFFFF"/>
          <w:lang w:val="en-US" w:eastAsia="zh-CN"/>
        </w:rPr>
        <w:t>1.</w:t>
      </w:r>
      <w:r>
        <w:rPr>
          <w:rFonts w:hint="eastAsia" w:ascii="仿宋" w:hAnsi="仿宋" w:eastAsia="仿宋" w:cs="仿宋"/>
          <w:b w:val="0"/>
          <w:bCs w:val="0"/>
          <w:sz w:val="32"/>
          <w:szCs w:val="32"/>
          <w:shd w:val="clear" w:color="auto" w:fill="FFFFFF"/>
        </w:rPr>
        <w:t>8财务所的主要职责：</w:t>
      </w:r>
      <w:r>
        <w:rPr>
          <w:rFonts w:hint="eastAsia" w:ascii="仿宋" w:hAnsi="仿宋" w:eastAsia="仿宋" w:cs="仿宋"/>
          <w:b w:val="0"/>
          <w:bCs w:val="0"/>
          <w:sz w:val="32"/>
          <w:szCs w:val="32"/>
        </w:rPr>
        <w:t>一</w:t>
      </w:r>
      <w:r>
        <w:rPr>
          <w:rFonts w:hint="eastAsia" w:ascii="仿宋" w:hAnsi="仿宋" w:eastAsia="仿宋" w:cs="仿宋"/>
          <w:sz w:val="32"/>
          <w:szCs w:val="32"/>
        </w:rPr>
        <w:t>、负责乡镇财政预决算编制、预算执行、预算调整和预算内外收支管理； 二、负责乡镇政府预算单位的财务管理和核算；三、负责乡镇涉农及社会保障等专户资金的管理和核算；四、负责村级资金专户存储、核拨和监督管理；五、负责各项农民补贴的核定和兑付工作。</w:t>
      </w:r>
    </w:p>
    <w:p>
      <w:pPr>
        <w:widowControl/>
        <w:numPr>
          <w:ilvl w:val="0"/>
          <w:numId w:val="0"/>
        </w:numPr>
        <w:spacing w:line="540" w:lineRule="atLeast"/>
        <w:ind w:firstLine="640" w:firstLineChars="200"/>
        <w:jc w:val="left"/>
        <w:rPr>
          <w:rFonts w:ascii="仿宋_GB2312" w:hAnsi="Tahoma" w:eastAsia="仿宋_GB2312" w:cs="仿宋_GB2312"/>
          <w:sz w:val="32"/>
        </w:rPr>
      </w:pPr>
      <w:r>
        <w:rPr>
          <w:rFonts w:hint="eastAsia" w:ascii="仿宋_GB2312" w:hAnsi="Tahoma" w:eastAsia="仿宋_GB2312" w:cs="仿宋_GB2312"/>
          <w:sz w:val="32"/>
          <w:lang w:val="en-US" w:eastAsia="zh-CN"/>
        </w:rPr>
        <w:t>1.9</w:t>
      </w:r>
      <w:r>
        <w:rPr>
          <w:rFonts w:hint="eastAsia" w:ascii="仿宋_GB2312" w:hAnsi="Tahoma" w:eastAsia="仿宋_GB2312" w:cs="仿宋_GB2312"/>
          <w:sz w:val="32"/>
        </w:rPr>
        <w:t>文化服务中心</w:t>
      </w:r>
      <w:r>
        <w:rPr>
          <w:rFonts w:hint="eastAsia" w:ascii="仿宋_GB2312" w:hAnsi="Tahoma" w:eastAsia="仿宋_GB2312" w:cs="仿宋_GB2312"/>
          <w:sz w:val="32"/>
          <w:lang w:val="en-US" w:eastAsia="zh-CN"/>
        </w:rPr>
        <w:t>的主要</w:t>
      </w:r>
      <w:r>
        <w:rPr>
          <w:rFonts w:hint="eastAsia" w:ascii="仿宋_GB2312" w:hAnsi="Tahoma" w:eastAsia="仿宋_GB2312" w:cs="仿宋_GB2312"/>
          <w:sz w:val="32"/>
        </w:rPr>
        <w:t>职责</w:t>
      </w:r>
    </w:p>
    <w:p>
      <w:pPr>
        <w:widowControl/>
        <w:spacing w:line="540" w:lineRule="atLeast"/>
        <w:ind w:firstLine="640"/>
        <w:jc w:val="left"/>
        <w:rPr>
          <w:rFonts w:hint="eastAsia" w:ascii="仿宋_GB2312" w:hAnsi="Tahoma" w:eastAsia="仿宋_GB2312" w:cs="仿宋_GB2312"/>
          <w:sz w:val="32"/>
        </w:rPr>
      </w:pPr>
      <w:r>
        <w:rPr>
          <w:rFonts w:hint="eastAsia" w:ascii="仿宋_GB2312" w:hAnsi="Tahoma" w:eastAsia="仿宋_GB2312" w:cs="仿宋_GB2312"/>
          <w:sz w:val="32"/>
        </w:rPr>
        <w:t>利用各种文艺形式宣传党的方针、政策、组织开展各项文体活动，做好农村书屋的管理和电影下乡工作。搜集整理民族民间文化遗产，做好文物保护工作</w:t>
      </w:r>
    </w:p>
    <w:p>
      <w:pPr>
        <w:widowControl/>
        <w:numPr>
          <w:ilvl w:val="0"/>
          <w:numId w:val="0"/>
        </w:numPr>
        <w:spacing w:line="540" w:lineRule="atLeast"/>
        <w:ind w:firstLine="640" w:firstLineChars="200"/>
        <w:jc w:val="left"/>
        <w:rPr>
          <w:rFonts w:hint="eastAsia" w:ascii="仿宋_GB2312" w:hAnsi="Tahoma" w:eastAsia="仿宋_GB2312" w:cs="仿宋_GB2312"/>
          <w:sz w:val="32"/>
          <w:lang w:val="en-US" w:eastAsia="zh-CN"/>
        </w:rPr>
      </w:pPr>
      <w:r>
        <w:rPr>
          <w:rFonts w:hint="eastAsia" w:ascii="仿宋_GB2312" w:hAnsi="Tahoma" w:eastAsia="仿宋_GB2312" w:cs="仿宋_GB2312"/>
          <w:sz w:val="32"/>
          <w:lang w:val="en-US" w:eastAsia="zh-CN"/>
        </w:rPr>
        <w:t>1.10乡后勤的主要职责。</w:t>
      </w:r>
    </w:p>
    <w:p>
      <w:pPr>
        <w:numPr>
          <w:ilvl w:val="0"/>
          <w:numId w:val="0"/>
        </w:numPr>
        <w:spacing w:line="578" w:lineRule="exact"/>
        <w:rPr>
          <w:rFonts w:hint="eastAsia" w:ascii="黑体" w:hAnsi="黑体" w:eastAsia="黑体" w:cs="黑体"/>
          <w:sz w:val="32"/>
          <w:szCs w:val="32"/>
        </w:rPr>
      </w:pPr>
      <w:r>
        <w:rPr>
          <w:rFonts w:hint="eastAsia" w:ascii="仿宋_GB2312" w:hAnsi="Tahoma" w:eastAsia="仿宋_GB2312" w:cs="仿宋_GB2312"/>
          <w:sz w:val="32"/>
        </w:rPr>
        <w:t>负责全乡机关干部伙食、生活经费的管理，负责机关食堂的卫生监督和后勤物资登记管理，负责来宾来客的接待任务和采购后勤物品。</w:t>
      </w:r>
    </w:p>
    <w:p>
      <w:pPr>
        <w:spacing w:line="578" w:lineRule="exact"/>
        <w:ind w:firstLine="640" w:firstLineChars="200"/>
        <w:rPr>
          <w:rFonts w:hint="eastAsia" w:ascii="黑体" w:hAnsi="黑体" w:eastAsia="黑体" w:cs="黑体"/>
          <w:sz w:val="32"/>
          <w:szCs w:val="32"/>
        </w:rPr>
      </w:pPr>
      <w:bookmarkStart w:id="14" w:name="_Toc24059_WPSOffice_Level2"/>
      <w:bookmarkStart w:id="15" w:name="_Toc6572_WPSOffice_Level2"/>
      <w:bookmarkStart w:id="16" w:name="_Toc4833_WPSOffice_Level2"/>
      <w:bookmarkStart w:id="17" w:name="_Toc24474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黑体" w:hAnsi="黑体" w:eastAsia="黑体" w:cs="黑体"/>
          <w:sz w:val="32"/>
          <w:szCs w:val="32"/>
          <w:lang w:val="en-US" w:eastAsia="zh-CN"/>
        </w:rPr>
        <w:t xml:space="preserve">1. </w:t>
      </w:r>
      <w:r>
        <w:rPr>
          <w:rFonts w:hint="eastAsia" w:ascii="仿宋" w:hAnsi="仿宋" w:eastAsia="仿宋"/>
          <w:sz w:val="32"/>
          <w:szCs w:val="32"/>
        </w:rPr>
        <w:t>纳入202</w:t>
      </w:r>
      <w:r>
        <w:rPr>
          <w:rFonts w:hint="eastAsia" w:ascii="仿宋" w:hAnsi="仿宋" w:eastAsia="仿宋"/>
          <w:sz w:val="32"/>
          <w:szCs w:val="32"/>
          <w:lang w:val="en-US" w:eastAsia="zh-CN"/>
        </w:rPr>
        <w:t>4</w:t>
      </w:r>
      <w:r>
        <w:rPr>
          <w:rFonts w:hint="eastAsia" w:ascii="仿宋" w:hAnsi="仿宋" w:eastAsia="仿宋"/>
          <w:sz w:val="32"/>
          <w:szCs w:val="32"/>
        </w:rPr>
        <w:t>年度部门决算汇编范围内的独立核算单位（以下简称“单位</w:t>
      </w:r>
      <w:r>
        <w:rPr>
          <w:rFonts w:ascii="仿宋" w:hAnsi="仿宋" w:eastAsia="仿宋"/>
          <w:sz w:val="32"/>
          <w:szCs w:val="32"/>
        </w:rPr>
        <w:t>”</w:t>
      </w:r>
      <w:r>
        <w:rPr>
          <w:rFonts w:hint="eastAsia" w:ascii="仿宋" w:hAnsi="仿宋" w:eastAsia="仿宋"/>
          <w:sz w:val="32"/>
          <w:szCs w:val="32"/>
        </w:rPr>
        <w:t>）共一个，其中：单位录入1户，其中含单位一个，占单位的总数的100%。执行会计制度为：行政会计制度。</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黑体" w:hAnsi="黑体" w:eastAsia="黑体" w:cs="黑体"/>
          <w:sz w:val="32"/>
          <w:szCs w:val="32"/>
          <w:lang w:val="en-US" w:eastAsia="zh-CN"/>
        </w:rPr>
        <w:t>2.</w:t>
      </w:r>
      <w:r>
        <w:rPr>
          <w:rFonts w:hint="eastAsia" w:ascii="仿宋_GB2312" w:hAnsi="仿宋" w:eastAsia="仿宋_GB2312"/>
          <w:sz w:val="32"/>
          <w:szCs w:val="32"/>
        </w:rPr>
        <w:t>人员情况。</w:t>
      </w:r>
    </w:p>
    <w:p>
      <w:pPr>
        <w:numPr>
          <w:ilvl w:val="0"/>
          <w:numId w:val="0"/>
        </w:numPr>
        <w:snapToGrid w:val="0"/>
        <w:spacing w:line="520" w:lineRule="exact"/>
        <w:ind w:firstLine="640" w:firstLineChars="200"/>
        <w:rPr>
          <w:rFonts w:hint="eastAsia" w:ascii="仿宋_GB2312" w:hAnsi="ˎ̥" w:eastAsia="仿宋_GB2312"/>
          <w:sz w:val="32"/>
          <w:szCs w:val="32"/>
        </w:rPr>
      </w:pPr>
      <w:r>
        <w:rPr>
          <w:rFonts w:hint="eastAsia" w:ascii="仿宋_GB2312" w:hAnsi="仿宋" w:eastAsia="仿宋_GB2312"/>
          <w:sz w:val="32"/>
          <w:szCs w:val="32"/>
          <w:lang w:val="en-US" w:eastAsia="zh-CN"/>
        </w:rPr>
        <w:t>2024年</w:t>
      </w:r>
      <w:r>
        <w:rPr>
          <w:rFonts w:hint="eastAsia" w:ascii="仿宋" w:hAnsi="仿宋" w:eastAsia="仿宋" w:cs="仿宋"/>
          <w:sz w:val="32"/>
          <w:szCs w:val="32"/>
        </w:rPr>
        <w:t>全乡</w:t>
      </w:r>
      <w:r>
        <w:rPr>
          <w:rFonts w:hint="eastAsia" w:ascii="仿宋" w:hAnsi="仿宋" w:eastAsia="仿宋" w:cs="仿宋"/>
          <w:sz w:val="32"/>
          <w:szCs w:val="32"/>
          <w:lang w:val="en-US" w:eastAsia="zh-CN"/>
        </w:rPr>
        <w:t>实有</w:t>
      </w:r>
      <w:r>
        <w:rPr>
          <w:rFonts w:hint="eastAsia" w:ascii="仿宋" w:hAnsi="仿宋" w:eastAsia="仿宋" w:cs="仿宋"/>
          <w:sz w:val="32"/>
          <w:szCs w:val="32"/>
        </w:rPr>
        <w:t>人员</w:t>
      </w:r>
      <w:r>
        <w:rPr>
          <w:rFonts w:hint="eastAsia" w:ascii="仿宋" w:hAnsi="仿宋" w:eastAsia="仿宋" w:cs="仿宋"/>
          <w:sz w:val="32"/>
          <w:szCs w:val="32"/>
          <w:lang w:val="en-US" w:eastAsia="zh-CN"/>
        </w:rPr>
        <w:t>42</w:t>
      </w:r>
      <w:r>
        <w:rPr>
          <w:rFonts w:hint="eastAsia" w:ascii="仿宋" w:hAnsi="仿宋" w:eastAsia="仿宋" w:cs="仿宋"/>
          <w:sz w:val="32"/>
          <w:szCs w:val="32"/>
        </w:rPr>
        <w:t>，其中：行政编制</w:t>
      </w:r>
      <w:r>
        <w:rPr>
          <w:rFonts w:hint="eastAsia" w:ascii="仿宋" w:hAnsi="仿宋" w:eastAsia="仿宋" w:cs="仿宋"/>
          <w:sz w:val="32"/>
          <w:szCs w:val="32"/>
          <w:lang w:val="en-US" w:eastAsia="zh-CN"/>
        </w:rPr>
        <w:t>17</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25人。</w:t>
      </w:r>
    </w:p>
    <w:p>
      <w:pPr>
        <w:spacing w:line="578" w:lineRule="exact"/>
        <w:jc w:val="center"/>
        <w:rPr>
          <w:rFonts w:hint="eastAsia" w:ascii="黑体" w:hAnsi="ˎ̥" w:eastAsia="黑体"/>
          <w:sz w:val="32"/>
          <w:szCs w:val="32"/>
        </w:rPr>
      </w:pPr>
      <w:bookmarkStart w:id="19" w:name="_Toc28253_WPSOffice_Level1"/>
      <w:bookmarkStart w:id="20" w:name="_Toc6234_WPSOffice_Level1"/>
      <w:bookmarkStart w:id="21" w:name="_Toc30451_WPSOffice_Level1"/>
      <w:bookmarkStart w:id="22" w:name="_Toc30690_WPSOffice_Level1"/>
      <w:bookmarkStart w:id="23" w:name="_Toc15521_WPSOffice_Level1"/>
      <w:bookmarkStart w:id="24" w:name="_Toc8164_WPSOffice_Level1"/>
      <w:bookmarkStart w:id="25" w:name="_Toc4029_WPSOffice_Level2"/>
      <w:bookmarkStart w:id="26" w:name="_Toc32695_WPSOffice_Level2"/>
      <w:bookmarkStart w:id="27" w:name="_Toc11518_WPSOffice_Level2"/>
      <w:bookmarkStart w:id="28" w:name="_Toc6211_WPSOffice_Level2"/>
      <w:bookmarkStart w:id="29" w:name="_Toc8867_WPSOffice_Level2"/>
      <w:bookmarkStart w:id="30" w:name="_Toc32472_WPSOffice_Level2"/>
    </w:p>
    <w:p>
      <w:pPr>
        <w:numPr>
          <w:ilvl w:val="0"/>
          <w:numId w:val="3"/>
        </w:numPr>
        <w:spacing w:line="578" w:lineRule="exact"/>
        <w:jc w:val="center"/>
        <w:rPr>
          <w:rFonts w:hint="eastAsia" w:ascii="黑体" w:hAnsi="ˎ̥" w:eastAsia="黑体"/>
          <w:sz w:val="32"/>
          <w:szCs w:val="32"/>
        </w:rPr>
      </w:pPr>
      <w:r>
        <w:rPr>
          <w:rFonts w:hint="eastAsia" w:ascii="黑体" w:hAnsi="ˎ̥" w:eastAsia="黑体"/>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numPr>
          <w:ilvl w:val="0"/>
          <w:numId w:val="4"/>
        </w:num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收入支出决算公开表</w:t>
      </w:r>
      <w:bookmarkEnd w:id="25"/>
      <w:bookmarkEnd w:id="26"/>
      <w:bookmarkEnd w:id="27"/>
      <w:bookmarkEnd w:id="28"/>
      <w:bookmarkEnd w:id="29"/>
      <w:bookmarkEnd w:id="30"/>
    </w:p>
    <w:p>
      <w:pPr>
        <w:numPr>
          <w:ilvl w:val="0"/>
          <w:numId w:val="0"/>
        </w:numPr>
        <w:spacing w:line="240" w:lineRule="auto"/>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1" name="图片 1" descr="收入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入支出决算批复表"/>
                    <pic:cNvPicPr>
                      <a:picLocks noChangeAspect="1"/>
                    </pic:cNvPicPr>
                  </pic:nvPicPr>
                  <pic:blipFill>
                    <a:blip r:embed="rId6"/>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bookmarkStart w:id="31" w:name="_Toc23139_WPSOffice_Level2"/>
      <w:bookmarkStart w:id="32" w:name="_Toc14349_WPSOffice_Level2"/>
      <w:bookmarkStart w:id="33" w:name="_Toc26621_WPSOffice_Level2"/>
      <w:bookmarkStart w:id="34" w:name="_Toc28622_WPSOffice_Level2"/>
      <w:bookmarkStart w:id="35" w:name="_Toc25608_WPSOffice_Level2"/>
      <w:bookmarkStart w:id="36" w:name="_Toc30334_WPSOffice_Level2"/>
      <w:r>
        <w:rPr>
          <w:rFonts w:hint="eastAsia" w:ascii="黑体" w:hAnsi="黑体" w:eastAsia="黑体" w:cs="黑体"/>
          <w:sz w:val="32"/>
          <w:szCs w:val="32"/>
        </w:rPr>
        <w:t>收入决算公开表</w:t>
      </w:r>
      <w:bookmarkEnd w:id="31"/>
      <w:bookmarkEnd w:id="32"/>
      <w:bookmarkEnd w:id="33"/>
      <w:bookmarkEnd w:id="34"/>
      <w:bookmarkEnd w:id="35"/>
      <w:bookmarkEnd w:id="36"/>
      <w:bookmarkStart w:id="37" w:name="_Toc17626_WPSOffice_Level2"/>
      <w:bookmarkStart w:id="38" w:name="_Toc5489_WPSOffice_Level2"/>
      <w:bookmarkStart w:id="39" w:name="_Toc3262_WPSOffice_Level2"/>
      <w:bookmarkStart w:id="40" w:name="_Toc13854_WPSOffice_Level2"/>
      <w:bookmarkStart w:id="41" w:name="_Toc17858_WPSOffice_Level2"/>
      <w:bookmarkStart w:id="42" w:name="_Toc14658_WPSOffice_Level2"/>
    </w:p>
    <w:p>
      <w:pPr>
        <w:numPr>
          <w:ilvl w:val="0"/>
          <w:numId w:val="0"/>
        </w:numPr>
        <w:spacing w:line="240" w:lineRule="auto"/>
        <w:ind w:left="645" w:leftChars="0"/>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2" name="图片 2" descr="收入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入决算批复表"/>
                    <pic:cNvPicPr>
                      <a:picLocks noChangeAspect="1"/>
                    </pic:cNvPicPr>
                  </pic:nvPicPr>
                  <pic:blipFill>
                    <a:blip r:embed="rId7"/>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r>
        <w:rPr>
          <w:rFonts w:hint="eastAsia" w:ascii="黑体" w:hAnsi="黑体" w:eastAsia="黑体" w:cs="黑体"/>
          <w:sz w:val="32"/>
          <w:szCs w:val="32"/>
        </w:rPr>
        <w:t>支出决算公开表</w:t>
      </w:r>
      <w:bookmarkEnd w:id="37"/>
      <w:bookmarkEnd w:id="38"/>
      <w:bookmarkEnd w:id="39"/>
      <w:bookmarkEnd w:id="40"/>
      <w:bookmarkEnd w:id="41"/>
      <w:bookmarkEnd w:id="42"/>
      <w:bookmarkStart w:id="43" w:name="_Toc13701_WPSOffice_Level2"/>
      <w:bookmarkStart w:id="44" w:name="_Toc23591_WPSOffice_Level2"/>
      <w:bookmarkStart w:id="45" w:name="_Toc23493_WPSOffice_Level2"/>
      <w:bookmarkStart w:id="46" w:name="_Toc7988_WPSOffice_Level2"/>
      <w:bookmarkStart w:id="47" w:name="_Toc4265_WPSOffice_Level2"/>
      <w:bookmarkStart w:id="48" w:name="_Toc21415_WPSOffice_Level2"/>
    </w:p>
    <w:p>
      <w:pPr>
        <w:numPr>
          <w:ilvl w:val="0"/>
          <w:numId w:val="0"/>
        </w:numPr>
        <w:spacing w:line="240" w:lineRule="auto"/>
        <w:ind w:left="645" w:leftChars="0"/>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3" name="图片 3" descr="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支出决算批复表"/>
                    <pic:cNvPicPr>
                      <a:picLocks noChangeAspect="1"/>
                    </pic:cNvPicPr>
                  </pic:nvPicPr>
                  <pic:blipFill>
                    <a:blip r:embed="rId8"/>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r>
        <w:rPr>
          <w:rFonts w:hint="eastAsia" w:ascii="黑体" w:hAnsi="黑体" w:eastAsia="黑体" w:cs="黑体"/>
          <w:sz w:val="32"/>
          <w:szCs w:val="32"/>
        </w:rPr>
        <w:t>财政拨款收入支出决算公开表</w:t>
      </w:r>
      <w:bookmarkEnd w:id="43"/>
      <w:bookmarkEnd w:id="44"/>
      <w:bookmarkEnd w:id="45"/>
      <w:bookmarkEnd w:id="46"/>
      <w:bookmarkEnd w:id="47"/>
      <w:bookmarkEnd w:id="48"/>
    </w:p>
    <w:p>
      <w:pPr>
        <w:numPr>
          <w:ilvl w:val="0"/>
          <w:numId w:val="0"/>
        </w:numPr>
        <w:spacing w:line="240" w:lineRule="auto"/>
        <w:ind w:left="645" w:leftChars="0"/>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4" name="图片 4" descr="财政拨款收入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政拨款收入支出决算批复表"/>
                    <pic:cNvPicPr>
                      <a:picLocks noChangeAspect="1"/>
                    </pic:cNvPicPr>
                  </pic:nvPicPr>
                  <pic:blipFill>
                    <a:blip r:embed="rId9"/>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bookmarkStart w:id="49" w:name="_Toc23829_WPSOffice_Level2"/>
      <w:bookmarkStart w:id="50" w:name="_Toc7879_WPSOffice_Level2"/>
      <w:bookmarkStart w:id="51" w:name="_Toc25166_WPSOffice_Level2"/>
      <w:bookmarkStart w:id="52" w:name="_Toc22783_WPSOffice_Level2"/>
      <w:bookmarkStart w:id="53" w:name="_Toc2158_WPSOffice_Level2"/>
      <w:bookmarkStart w:id="54" w:name="_Toc13516_WPSOffice_Level2"/>
      <w:r>
        <w:rPr>
          <w:rFonts w:hint="eastAsia" w:ascii="黑体" w:hAnsi="黑体" w:eastAsia="黑体" w:cs="黑体"/>
          <w:sz w:val="32"/>
          <w:szCs w:val="32"/>
        </w:rPr>
        <w:t>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283_WPSOffice_Level2"/>
      <w:bookmarkStart w:id="57" w:name="_Toc17833_WPSOffice_Level2"/>
      <w:bookmarkStart w:id="58" w:name="_Toc5343_WPSOffice_Level2"/>
      <w:bookmarkStart w:id="59" w:name="_Toc25362_WPSOffice_Level2"/>
      <w:bookmarkStart w:id="60" w:name="_Toc2632_WPSOffice_Level2"/>
    </w:p>
    <w:p>
      <w:pPr>
        <w:numPr>
          <w:ilvl w:val="0"/>
          <w:numId w:val="0"/>
        </w:numPr>
        <w:spacing w:line="240" w:lineRule="auto"/>
        <w:ind w:left="645" w:leftChars="0"/>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5" name="图片 5" descr="一般公共预算财政拨款收入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般公共预算财政拨款收入支出决算批复表"/>
                    <pic:cNvPicPr>
                      <a:picLocks noChangeAspect="1"/>
                    </pic:cNvPicPr>
                  </pic:nvPicPr>
                  <pic:blipFill>
                    <a:blip r:embed="rId10"/>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r>
        <w:rPr>
          <w:rFonts w:hint="eastAsia" w:ascii="黑体" w:hAnsi="黑体" w:eastAsia="黑体" w:cs="黑体"/>
          <w:sz w:val="32"/>
          <w:szCs w:val="32"/>
        </w:rPr>
        <w:t>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numPr>
          <w:ilvl w:val="0"/>
          <w:numId w:val="0"/>
        </w:numPr>
        <w:spacing w:line="240" w:lineRule="auto"/>
        <w:ind w:left="645" w:leftChars="0"/>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6" name="图片 6" descr="一般公共预算财政拨款基本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般公共预算财政拨款基本支出决算批复表"/>
                    <pic:cNvPicPr>
                      <a:picLocks noChangeAspect="1"/>
                    </pic:cNvPicPr>
                  </pic:nvPicPr>
                  <pic:blipFill>
                    <a:blip r:embed="rId7"/>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bookmarkStart w:id="61" w:name="_Toc11799_WPSOffice_Level2"/>
      <w:bookmarkStart w:id="62" w:name="_Toc1533_WPSOffice_Level2"/>
      <w:bookmarkStart w:id="63" w:name="_Toc5594_WPSOffice_Level2"/>
      <w:bookmarkStart w:id="64" w:name="_Toc13345_WPSOffice_Level2"/>
      <w:bookmarkStart w:id="65" w:name="_Toc6020_WPSOffice_Level2"/>
      <w:bookmarkStart w:id="66" w:name="_Toc21310_WPSOffice_Level2"/>
      <w:r>
        <w:rPr>
          <w:rFonts w:hint="eastAsia" w:ascii="黑体" w:hAnsi="黑体" w:eastAsia="黑体" w:cs="黑体"/>
          <w:sz w:val="32"/>
          <w:szCs w:val="32"/>
        </w:rPr>
        <w:t>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numPr>
          <w:ilvl w:val="0"/>
          <w:numId w:val="0"/>
        </w:numPr>
        <w:spacing w:line="240" w:lineRule="auto"/>
        <w:ind w:left="645" w:leftChars="0"/>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7" name="图片 7" descr="政府性基金预算财政拨款收入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政府性基金预算财政拨款收入支出决算批复表"/>
                    <pic:cNvPicPr>
                      <a:picLocks noChangeAspect="1"/>
                    </pic:cNvPicPr>
                  </pic:nvPicPr>
                  <pic:blipFill>
                    <a:blip r:embed="rId11"/>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r>
        <w:rPr>
          <w:rFonts w:hint="eastAsia" w:ascii="黑体" w:hAnsi="黑体" w:eastAsia="黑体" w:cs="黑体"/>
          <w:sz w:val="32"/>
          <w:szCs w:val="32"/>
        </w:rPr>
        <w:t>国有资本经营预算财政拨款收入支出决算公开表</w:t>
      </w:r>
    </w:p>
    <w:p>
      <w:pPr>
        <w:numPr>
          <w:ilvl w:val="0"/>
          <w:numId w:val="0"/>
        </w:numPr>
        <w:spacing w:line="240" w:lineRule="auto"/>
        <w:ind w:left="645" w:leftChars="0"/>
        <w:rPr>
          <w:rFonts w:hint="eastAsia" w:ascii="黑体" w:hAnsi="黑体" w:eastAsia="黑体" w:cs="黑体"/>
          <w:sz w:val="32"/>
          <w:szCs w:val="32"/>
          <w:lang w:eastAsia="zh-CN"/>
        </w:rPr>
      </w:pPr>
      <w:r>
        <w:rPr>
          <w:rFonts w:hint="eastAsia" w:ascii="黑体" w:hAnsi="黑体" w:eastAsia="黑体" w:cs="黑体"/>
          <w:sz w:val="32"/>
          <w:szCs w:val="32"/>
          <w:lang w:eastAsia="zh-CN"/>
        </w:rPr>
        <w:drawing>
          <wp:inline distT="0" distB="0" distL="114300" distR="114300">
            <wp:extent cx="5609590" cy="3965575"/>
            <wp:effectExtent l="0" t="0" r="10160" b="15875"/>
            <wp:docPr id="8" name="图片 8" descr="国有资本经营预算财政拨款收入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有资本经营预算财政拨款收入支出决算批复表"/>
                    <pic:cNvPicPr>
                      <a:picLocks noChangeAspect="1"/>
                    </pic:cNvPicPr>
                  </pic:nvPicPr>
                  <pic:blipFill>
                    <a:blip r:embed="rId12"/>
                    <a:stretch>
                      <a:fillRect/>
                    </a:stretch>
                  </pic:blipFill>
                  <pic:spPr>
                    <a:xfrm>
                      <a:off x="0" y="0"/>
                      <a:ext cx="5609590" cy="3965575"/>
                    </a:xfrm>
                    <a:prstGeom prst="rect">
                      <a:avLst/>
                    </a:prstGeom>
                  </pic:spPr>
                </pic:pic>
              </a:graphicData>
            </a:graphic>
          </wp:inline>
        </w:drawing>
      </w:r>
    </w:p>
    <w:p>
      <w:pPr>
        <w:numPr>
          <w:ilvl w:val="0"/>
          <w:numId w:val="4"/>
        </w:numPr>
        <w:spacing w:line="578" w:lineRule="exact"/>
        <w:ind w:left="0" w:leftChars="0" w:firstLine="645" w:firstLineChars="0"/>
        <w:rPr>
          <w:rFonts w:hint="eastAsia" w:ascii="黑体" w:hAnsi="黑体" w:eastAsia="黑体" w:cs="黑体"/>
          <w:sz w:val="32"/>
          <w:szCs w:val="32"/>
        </w:rPr>
      </w:pPr>
      <w:bookmarkStart w:id="67" w:name="_Toc19961_WPSOffice_Level2"/>
      <w:bookmarkStart w:id="68" w:name="_Toc29886_WPSOffice_Level2"/>
      <w:bookmarkStart w:id="69" w:name="_Toc9377_WPSOffice_Level2"/>
      <w:bookmarkStart w:id="70" w:name="_Toc1820_WPSOffice_Level2"/>
      <w:r>
        <w:rPr>
          <w:rFonts w:hint="eastAsia" w:ascii="黑体" w:hAnsi="黑体" w:eastAsia="黑体" w:cs="黑体"/>
          <w:sz w:val="32"/>
          <w:szCs w:val="32"/>
        </w:rPr>
        <w:t>财政拨款“三公”经费支出决算</w:t>
      </w:r>
      <w:bookmarkEnd w:id="67"/>
      <w:bookmarkEnd w:id="68"/>
      <w:bookmarkEnd w:id="69"/>
      <w:bookmarkEnd w:id="70"/>
      <w:r>
        <w:rPr>
          <w:rFonts w:hint="eastAsia" w:ascii="黑体" w:hAnsi="黑体" w:eastAsia="黑体" w:cs="黑体"/>
          <w:sz w:val="32"/>
          <w:szCs w:val="32"/>
        </w:rPr>
        <w:t>公开表</w:t>
      </w:r>
    </w:p>
    <w:p>
      <w:pPr>
        <w:numPr>
          <w:ilvl w:val="0"/>
          <w:numId w:val="0"/>
        </w:numPr>
        <w:spacing w:line="240" w:lineRule="auto"/>
        <w:ind w:left="645" w:leftChars="0"/>
        <w:rPr>
          <w:rFonts w:hint="eastAsia" w:ascii="仿宋" w:hAnsi="仿宋" w:eastAsia="仿宋" w:cs="仿宋"/>
          <w:w w:val="100"/>
          <w:sz w:val="32"/>
          <w:szCs w:val="32"/>
        </w:rPr>
      </w:pPr>
      <w:r>
        <w:rPr>
          <w:rFonts w:hint="eastAsia" w:ascii="黑体" w:hAnsi="黑体" w:eastAsia="黑体" w:cs="黑体"/>
          <w:sz w:val="32"/>
          <w:szCs w:val="32"/>
          <w:lang w:eastAsia="zh-CN"/>
        </w:rPr>
        <w:drawing>
          <wp:inline distT="0" distB="0" distL="114300" distR="114300">
            <wp:extent cx="5609590" cy="3695065"/>
            <wp:effectExtent l="0" t="0" r="10160" b="635"/>
            <wp:docPr id="9" name="图片 9" descr="财政拨款“三公”经济支出决算批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财政拨款“三公”经济支出决算批复表"/>
                    <pic:cNvPicPr>
                      <a:picLocks noChangeAspect="1"/>
                    </pic:cNvPicPr>
                  </pic:nvPicPr>
                  <pic:blipFill>
                    <a:blip r:embed="rId13"/>
                    <a:stretch>
                      <a:fillRect/>
                    </a:stretch>
                  </pic:blipFill>
                  <pic:spPr>
                    <a:xfrm>
                      <a:off x="0" y="0"/>
                      <a:ext cx="5609590" cy="3695065"/>
                    </a:xfrm>
                    <a:prstGeom prst="rect">
                      <a:avLst/>
                    </a:prstGeom>
                  </pic:spPr>
                </pic:pic>
              </a:graphicData>
            </a:graphic>
          </wp:inline>
        </w:drawing>
      </w:r>
      <w:bookmarkStart w:id="119" w:name="_GoBack"/>
      <w:bookmarkEnd w:id="119"/>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27590_WPSOffice_Level1"/>
      <w:bookmarkStart w:id="72" w:name="_Toc31264_WPSOffice_Level1"/>
      <w:bookmarkStart w:id="73" w:name="_Toc28629_WPSOffice_Level1"/>
      <w:bookmarkStart w:id="74" w:name="_Toc4402_WPSOffice_Level1"/>
      <w:bookmarkStart w:id="75" w:name="_Toc29683_WPSOffice_Level1"/>
      <w:bookmarkStart w:id="76"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spacing w:line="578" w:lineRule="exact"/>
        <w:ind w:firstLine="640" w:firstLineChars="200"/>
        <w:rPr>
          <w:rFonts w:ascii="仿宋_GB2312" w:hAnsi="ˎ̥" w:eastAsia="仿宋_GB2312"/>
          <w:color w:val="auto"/>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减少153.84</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9.64</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人员调动增加、二是支出较23年减少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w:t>
      </w:r>
    </w:p>
    <w:p>
      <w:pPr>
        <w:spacing w:line="578"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主要是</w:t>
      </w:r>
      <w:r>
        <w:rPr>
          <w:rFonts w:hint="eastAsia" w:ascii="仿宋_GB2312" w:hAnsi="ˎ̥" w:eastAsia="仿宋_GB2312"/>
          <w:color w:val="auto"/>
          <w:sz w:val="32"/>
          <w:szCs w:val="32"/>
          <w:lang w:val="en-US" w:eastAsia="zh-CN"/>
        </w:rPr>
        <w:t>一般公共服务支出30.79万元、文化旅游体育与传媒支出22万元、社会保障和就业支出142.66万元，卫生健康支出85.97万元、城乡社区支出1203.88万元、住房保障支出110.80万元</w:t>
      </w:r>
      <w:r>
        <w:rPr>
          <w:rFonts w:hint="eastAsia" w:ascii="仿宋_GB2312" w:hAnsi="ˎ̥" w:eastAsia="仿宋_GB2312"/>
          <w:color w:val="auto"/>
          <w:sz w:val="32"/>
          <w:szCs w:val="32"/>
        </w:rPr>
        <w:t>，较202</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153.84</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9.64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人员调动增加、二是支出较23年减少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lang w:val="en-US" w:eastAsia="zh-CN"/>
        </w:rPr>
        <w:t>元</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1,465.44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91.81</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130.65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8.19</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119.13</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6.95</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人员调动增加、二是支出较23年减少</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153.84</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8.79</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人员调动增加、二是支出较23年减少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23005_WPSOffice_Level2"/>
      <w:bookmarkStart w:id="78" w:name="_Toc17398_WPSOffice_Level2"/>
      <w:bookmarkStart w:id="79" w:name="_Toc9989_WPSOffice_Level2"/>
      <w:bookmarkStart w:id="80" w:name="_Toc13694_WPSOffice_Level2"/>
      <w:bookmarkStart w:id="81" w:name="_Toc21737_WPSOffice_Level2"/>
      <w:bookmarkStart w:id="82" w:name="_Toc1966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年度相比，一般公共预算财政拨款支出减少</w:t>
      </w:r>
      <w:r>
        <w:rPr>
          <w:rFonts w:hint="eastAsia" w:ascii="仿宋_GB2312" w:hAnsi="ˎ̥" w:eastAsia="仿宋_GB2312"/>
          <w:color w:val="auto"/>
          <w:sz w:val="32"/>
          <w:szCs w:val="32"/>
          <w:lang w:val="en-US" w:eastAsia="zh-CN"/>
        </w:rPr>
        <w:t>153.84</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8.79</w:t>
      </w:r>
      <w:r>
        <w:rPr>
          <w:rFonts w:hint="eastAsia" w:ascii="仿宋_GB2312" w:hAnsi="ˎ̥" w:eastAsia="仿宋_GB2312"/>
          <w:color w:val="auto"/>
          <w:sz w:val="32"/>
          <w:szCs w:val="32"/>
        </w:rPr>
        <w:t>%，主要原因是一是</w:t>
      </w:r>
      <w:r>
        <w:rPr>
          <w:rFonts w:hint="eastAsia" w:ascii="仿宋_GB2312" w:hAnsi="ˎ̥" w:eastAsia="仿宋_GB2312"/>
          <w:color w:val="auto"/>
          <w:sz w:val="32"/>
          <w:szCs w:val="32"/>
          <w:lang w:val="en-US" w:eastAsia="zh-CN"/>
        </w:rPr>
        <w:t>人员调动增加、二是支出较23年减少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3" w:name="_Toc18793_WPSOffice_Level2"/>
      <w:bookmarkStart w:id="84" w:name="_Toc19075_WPSOffice_Level2"/>
      <w:bookmarkStart w:id="85" w:name="_Toc23864_WPSOffice_Level2"/>
      <w:bookmarkStart w:id="86" w:name="_Toc27767_WPSOffice_Level2"/>
      <w:bookmarkStart w:id="87" w:name="_Toc19535_WPSOffice_Level2"/>
      <w:bookmarkStart w:id="88" w:name="_Toc2711_WPSOffice_Level2"/>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30.79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1.93</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文化旅游体育与传媒（类）</w:t>
      </w:r>
      <w:r>
        <w:rPr>
          <w:rFonts w:hint="eastAsia" w:ascii="仿宋_GB2312" w:hAnsi="ˎ̥" w:eastAsia="仿宋_GB2312"/>
          <w:color w:val="auto"/>
          <w:sz w:val="32"/>
          <w:szCs w:val="32"/>
          <w:lang w:val="en-US" w:eastAsia="zh-CN"/>
        </w:rPr>
        <w:t>支出22万元，占1.38%，</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142.66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8.94</w:t>
      </w:r>
      <w:r>
        <w:rPr>
          <w:rFonts w:hint="eastAsia" w:ascii="仿宋_GB2312" w:hAnsi="ˎ̥" w:eastAsia="仿宋_GB2312"/>
          <w:color w:val="auto"/>
          <w:sz w:val="32"/>
          <w:szCs w:val="32"/>
        </w:rPr>
        <w:t>%；</w:t>
      </w:r>
      <w:r>
        <w:rPr>
          <w:rFonts w:hint="eastAsia" w:ascii="仿宋_GB2312" w:hAnsi="ˎ̥" w:eastAsia="仿宋_GB2312"/>
          <w:b/>
          <w:color w:val="auto"/>
          <w:sz w:val="32"/>
          <w:szCs w:val="32"/>
          <w:lang w:val="en-US" w:eastAsia="zh-CN"/>
        </w:rPr>
        <w:t>卫</w:t>
      </w:r>
      <w:r>
        <w:rPr>
          <w:rFonts w:hint="eastAsia" w:ascii="仿宋_GB2312" w:hAnsi="ˎ̥" w:eastAsia="仿宋_GB2312"/>
          <w:b/>
          <w:color w:val="auto"/>
          <w:sz w:val="32"/>
          <w:szCs w:val="32"/>
          <w:lang w:val="en-US" w:eastAsia="zh-CN"/>
        </w:rPr>
        <w:t>生健康（类）</w:t>
      </w:r>
      <w:r>
        <w:rPr>
          <w:rFonts w:hint="eastAsia" w:ascii="仿宋_GB2312" w:hAnsi="ˎ̥" w:eastAsia="仿宋_GB2312"/>
          <w:color w:val="auto"/>
          <w:sz w:val="32"/>
          <w:szCs w:val="32"/>
          <w:lang w:val="en-US" w:eastAsia="zh-CN"/>
        </w:rPr>
        <w:t>支出85.97万元，占5.39%，</w:t>
      </w:r>
      <w:r>
        <w:rPr>
          <w:rFonts w:hint="eastAsia" w:ascii="仿宋_GB2312" w:hAnsi="ˎ̥" w:eastAsia="仿宋_GB2312"/>
          <w:b/>
          <w:color w:val="auto"/>
          <w:sz w:val="32"/>
          <w:szCs w:val="32"/>
          <w:lang w:val="en-US" w:eastAsia="zh-CN"/>
        </w:rPr>
        <w:t>城</w:t>
      </w:r>
      <w:r>
        <w:rPr>
          <w:rFonts w:hint="eastAsia" w:ascii="仿宋_GB2312" w:hAnsi="ˎ̥" w:eastAsia="仿宋_GB2312"/>
          <w:b/>
          <w:color w:val="auto"/>
          <w:sz w:val="32"/>
          <w:szCs w:val="32"/>
          <w:lang w:val="en-US" w:eastAsia="zh-CN"/>
        </w:rPr>
        <w:t>乡社区（类）</w:t>
      </w:r>
      <w:r>
        <w:rPr>
          <w:rFonts w:hint="eastAsia" w:ascii="仿宋_GB2312" w:hAnsi="ˎ̥" w:eastAsia="仿宋_GB2312"/>
          <w:color w:val="auto"/>
          <w:sz w:val="32"/>
          <w:szCs w:val="32"/>
          <w:lang w:val="en-US" w:eastAsia="zh-CN"/>
        </w:rPr>
        <w:t>支出1203.88万元，占75.43%，</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110.8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6.94</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15415_WPSOffice_Level2"/>
      <w:bookmarkStart w:id="90" w:name="_Toc22318_WPSOffice_Level2"/>
      <w:bookmarkStart w:id="91" w:name="_Toc25136_WPSOffice_Level2"/>
      <w:bookmarkStart w:id="92" w:name="_Toc21701_WPSOffice_Level2"/>
      <w:bookmarkStart w:id="93" w:name="_Toc29364_WPSOffice_Level2"/>
      <w:bookmarkStart w:id="94" w:name="_Toc9502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1810.3</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1,596.10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88.17</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30.79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100.34</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村级党建经费12万元及村委会运行经费3.6万元追加</w:t>
      </w:r>
      <w:r>
        <w:rPr>
          <w:rFonts w:hint="eastAsia" w:ascii="仿宋_GB2312" w:hAnsi="ˎ̥" w:eastAsia="仿宋_GB2312"/>
          <w:color w:val="auto"/>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年初预算167.89万元，</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决算142.66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84.97</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3</w:t>
      </w:r>
      <w:r>
        <w:rPr>
          <w:rFonts w:hint="eastAsia" w:ascii="仿宋_GB2312" w:hAnsi="ˎ̥" w:eastAsia="仿宋_GB2312" w:cs="Times New Roman"/>
          <w:b/>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年初预算110.80万元，支出决算85.97万元，占77.59%，</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s="Times New Roman"/>
          <w:b/>
          <w:color w:val="auto"/>
          <w:sz w:val="32"/>
          <w:szCs w:val="32"/>
          <w:lang w:val="en-US" w:eastAsia="zh-CN"/>
        </w:rPr>
      </w:pPr>
      <w:r>
        <w:rPr>
          <w:rFonts w:hint="eastAsia" w:ascii="仿宋_GB2312" w:hAnsi="ˎ̥" w:eastAsia="仿宋_GB2312" w:cs="Times New Roman"/>
          <w:b/>
          <w:color w:val="auto"/>
          <w:sz w:val="32"/>
          <w:szCs w:val="32"/>
          <w:lang w:val="en-US" w:eastAsia="zh-CN"/>
        </w:rPr>
        <w:t>4.城乡社区（类）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年初预算1365.22万元，支出决算1203.88万元，占88.18%，</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5.</w:t>
      </w: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b/>
          <w:bCs/>
          <w:color w:val="auto"/>
          <w:sz w:val="32"/>
          <w:szCs w:val="32"/>
          <w:lang w:val="en-US" w:eastAsia="zh-CN"/>
        </w:rPr>
      </w:pPr>
      <w:r>
        <w:rPr>
          <w:rFonts w:hint="eastAsia" w:ascii="仿宋_GB2312" w:hAnsi="ˎ̥" w:eastAsia="仿宋_GB2312"/>
          <w:color w:val="auto"/>
          <w:sz w:val="32"/>
          <w:szCs w:val="32"/>
          <w:lang w:val="en-US" w:eastAsia="zh-CN"/>
        </w:rPr>
        <w:t>初预算125.69万元，支出决算110.8万元，占88.15%。</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1,465.44</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1,391.11</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74.34</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15.46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15.46</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3.46</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28.83</w:t>
      </w:r>
      <w:r>
        <w:rPr>
          <w:rFonts w:hint="eastAsia" w:ascii="仿宋_GB2312" w:hAnsi="ˎ̥" w:eastAsia="仿宋_GB2312"/>
          <w:color w:val="auto"/>
          <w:sz w:val="32"/>
          <w:szCs w:val="32"/>
        </w:rPr>
        <w:t>%，</w:t>
      </w:r>
      <w:r>
        <w:rPr>
          <w:rFonts w:ascii="仿宋_GB2312" w:hAnsi="ˎ̥" w:eastAsia="仿宋_GB2312"/>
          <w:color w:val="auto"/>
          <w:sz w:val="32"/>
          <w:szCs w:val="32"/>
        </w:rPr>
        <w:t>主要原</w:t>
      </w:r>
      <w:r>
        <w:rPr>
          <w:rFonts w:hint="eastAsia" w:ascii="仿宋_GB2312" w:hAnsi="ˎ̥" w:eastAsia="仿宋_GB2312"/>
          <w:color w:val="auto"/>
          <w:sz w:val="32"/>
          <w:szCs w:val="32"/>
          <w:lang w:val="en-US" w:eastAsia="zh-CN"/>
        </w:rPr>
        <w:t>因</w:t>
      </w:r>
      <w:r>
        <w:rPr>
          <w:rFonts w:ascii="仿宋_GB2312" w:hAnsi="ˎ̥" w:eastAsia="仿宋_GB2312"/>
          <w:color w:val="auto"/>
          <w:sz w:val="32"/>
          <w:szCs w:val="32"/>
        </w:rPr>
        <w:t>是</w:t>
      </w:r>
      <w:r>
        <w:rPr>
          <w:rFonts w:hint="eastAsia" w:ascii="仿宋_GB2312" w:hAnsi="ˎ̥" w:eastAsia="仿宋_GB2312"/>
          <w:color w:val="auto"/>
          <w:sz w:val="32"/>
          <w:szCs w:val="32"/>
          <w:lang w:val="en-US" w:eastAsia="zh-CN"/>
        </w:rPr>
        <w:t>乡政府垃圾车维修及保险、油料等费用</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15.46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15.46</w:t>
      </w:r>
      <w:r>
        <w:rPr>
          <w:rFonts w:hint="eastAsia" w:ascii="仿宋_GB2312" w:hAnsi="ˎ̥" w:eastAsia="仿宋_GB2312"/>
          <w:color w:val="auto"/>
          <w:sz w:val="32"/>
          <w:szCs w:val="32"/>
        </w:rPr>
        <w:t>万元。其中：</w:t>
      </w:r>
    </w:p>
    <w:p>
      <w:pPr>
        <w:spacing w:line="578" w:lineRule="exact"/>
        <w:ind w:firstLine="643" w:firstLineChars="200"/>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spacing w:line="578" w:lineRule="exact"/>
        <w:ind w:firstLine="643" w:firstLineChars="200"/>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15.46</w:t>
      </w:r>
      <w:r>
        <w:rPr>
          <w:rFonts w:hint="eastAsia" w:ascii="仿宋_GB2312" w:hAnsi="ˎ̥" w:eastAsia="仿宋_GB2312"/>
          <w:color w:val="auto"/>
          <w:sz w:val="32"/>
          <w:szCs w:val="32"/>
        </w:rPr>
        <w:t>万元，</w:t>
      </w:r>
      <w:r>
        <w:rPr>
          <w:rFonts w:hint="eastAsia" w:ascii="仿宋_GB2312" w:hAnsi="ˎ̥" w:eastAsia="仿宋_GB2312"/>
          <w:color w:val="auto"/>
          <w:sz w:val="32"/>
          <w:szCs w:val="32"/>
        </w:rPr>
        <w:t>主要用于</w:t>
      </w:r>
      <w:r>
        <w:rPr>
          <w:rFonts w:hint="eastAsia" w:ascii="仿宋_GB2312" w:hAnsi="ˎ̥" w:eastAsia="仿宋_GB2312"/>
          <w:color w:val="auto"/>
          <w:sz w:val="32"/>
          <w:szCs w:val="32"/>
          <w:lang w:val="en-US" w:eastAsia="zh-CN"/>
        </w:rPr>
        <w:t>乡政府3辆公车及徐仓寺管委会1辆公车的运行维护费，乡政府垃圾车维修及保险、油料等费用</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3.46</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共涉及资金130.65万元，占一般公共预算项目支出总额的8.19%</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bidi="ar"/>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130.65</w:t>
      </w:r>
      <w:r>
        <w:rPr>
          <w:rFonts w:hint="eastAsia" w:ascii="仿宋_GB2312" w:eastAsia="仿宋_GB2312"/>
          <w:color w:val="auto"/>
          <w:sz w:val="32"/>
          <w:szCs w:val="32"/>
          <w:lang w:bidi="ar"/>
        </w:rPr>
        <w:t>万元</w:t>
      </w:r>
      <w:r>
        <w:rPr>
          <w:rFonts w:hint="eastAsia" w:ascii="仿宋_GB2312" w:eastAsia="仿宋_GB2312"/>
          <w:color w:val="auto"/>
          <w:sz w:val="32"/>
          <w:szCs w:val="32"/>
          <w:lang w:eastAsia="zh-CN" w:bidi="ar"/>
        </w:rPr>
        <w:t>，</w:t>
      </w:r>
      <w:r>
        <w:rPr>
          <w:rFonts w:hint="eastAsia" w:ascii="仿宋_GB2312" w:eastAsia="仿宋_GB2312"/>
          <w:color w:val="auto"/>
          <w:sz w:val="32"/>
          <w:szCs w:val="32"/>
          <w:lang w:bidi="ar"/>
        </w:rPr>
        <w:t>占一般公共预算项目支出总额的</w:t>
      </w:r>
      <w:r>
        <w:rPr>
          <w:rFonts w:hint="eastAsia" w:ascii="仿宋_GB2312" w:eastAsia="仿宋_GB2312"/>
          <w:color w:val="auto"/>
          <w:sz w:val="32"/>
          <w:szCs w:val="32"/>
          <w:lang w:val="en-US" w:eastAsia="zh-CN" w:bidi="ar"/>
        </w:rPr>
        <w:t>100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我部门（单位）在部门决算中反映</w:t>
      </w:r>
      <w:r>
        <w:rPr>
          <w:rFonts w:hint="eastAsia" w:ascii="仿宋_GB2312" w:eastAsia="仿宋_GB2312"/>
          <w:color w:val="auto"/>
          <w:sz w:val="32"/>
          <w:szCs w:val="32"/>
          <w:lang w:val="en-US" w:eastAsia="zh-CN"/>
        </w:rPr>
        <w:t>村级文艺演出</w:t>
      </w:r>
      <w:r>
        <w:rPr>
          <w:rFonts w:hint="eastAsia" w:ascii="仿宋_GB2312" w:eastAsia="仿宋_GB2312"/>
          <w:color w:val="auto"/>
          <w:sz w:val="32"/>
          <w:szCs w:val="32"/>
        </w:rPr>
        <w:t>项目绩效自评结果</w:t>
      </w:r>
      <w:r>
        <w:rPr>
          <w:rFonts w:hint="eastAsia" w:ascii="仿宋_GB2312" w:eastAsia="仿宋_GB2312"/>
          <w:color w:val="auto"/>
          <w:sz w:val="32"/>
          <w:szCs w:val="32"/>
          <w:lang w:val="en-US" w:eastAsia="zh-CN"/>
        </w:rPr>
        <w:t>如下：</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村级文艺演出</w:t>
      </w:r>
      <w:r>
        <w:rPr>
          <w:rFonts w:hint="eastAsia" w:ascii="仿宋_GB2312" w:eastAsia="仿宋_GB2312"/>
          <w:color w:val="auto"/>
          <w:sz w:val="32"/>
          <w:szCs w:val="32"/>
        </w:rPr>
        <w:t>项目绩效自评表：</w:t>
      </w:r>
    </w:p>
    <w:p>
      <w:pPr>
        <w:spacing w:line="578"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村级文艺演出经费</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95</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val="en-US" w:eastAsia="zh-CN"/>
        </w:rPr>
        <w:t>资金拨付率已完成</w:t>
      </w:r>
      <w:r>
        <w:rPr>
          <w:rFonts w:hint="eastAsia" w:ascii="仿宋_GB2312" w:eastAsia="仿宋_GB2312"/>
          <w:color w:val="auto"/>
          <w:sz w:val="32"/>
          <w:szCs w:val="32"/>
        </w:rPr>
        <w:t>；二是</w:t>
      </w:r>
      <w:r>
        <w:rPr>
          <w:rFonts w:hint="eastAsia" w:ascii="仿宋_GB2312" w:hAnsi="Times New Roman" w:eastAsia="仿宋_GB2312" w:cs="Times New Roman"/>
          <w:color w:val="auto"/>
          <w:sz w:val="32"/>
          <w:szCs w:val="32"/>
          <w:lang w:val="en-US" w:eastAsia="zh-CN"/>
        </w:rPr>
        <w:t>进行民族文化演出</w:t>
      </w:r>
      <w:r>
        <w:rPr>
          <w:rFonts w:hint="eastAsia" w:ascii="仿宋_GB2312" w:hAnsi="Times New Roman" w:eastAsia="仿宋_GB2312" w:cs="Times New Roman"/>
          <w:color w:val="auto"/>
          <w:sz w:val="32"/>
          <w:szCs w:val="32"/>
        </w:rPr>
        <w:t>推广活动数</w:t>
      </w:r>
      <w:r>
        <w:rPr>
          <w:rFonts w:hint="eastAsia" w:ascii="仿宋_GB2312" w:hAnsi="Times New Roman" w:eastAsia="仿宋_GB2312" w:cs="Times New Roman"/>
          <w:color w:val="auto"/>
          <w:sz w:val="32"/>
          <w:szCs w:val="32"/>
          <w:lang w:val="en-US" w:eastAsia="zh-CN"/>
        </w:rPr>
        <w:t>8场次；三是</w:t>
      </w:r>
      <w:r>
        <w:rPr>
          <w:rFonts w:hint="eastAsia" w:ascii="仿宋_GB2312" w:hAnsi="Times New Roman" w:eastAsia="仿宋_GB2312" w:cs="Times New Roman"/>
          <w:color w:val="auto"/>
          <w:sz w:val="32"/>
          <w:szCs w:val="32"/>
        </w:rPr>
        <w:t>资金投入</w:t>
      </w:r>
      <w:r>
        <w:rPr>
          <w:rFonts w:hint="eastAsia" w:ascii="仿宋_GB2312" w:hAnsi="Times New Roman" w:eastAsia="仿宋_GB2312" w:cs="Times New Roman"/>
          <w:color w:val="auto"/>
          <w:sz w:val="32"/>
          <w:szCs w:val="32"/>
          <w:lang w:val="en-US" w:eastAsia="zh-CN"/>
        </w:rPr>
        <w:t>18万元；三是</w:t>
      </w:r>
      <w:r>
        <w:rPr>
          <w:rFonts w:hint="eastAsia" w:ascii="仿宋_GB2312" w:hAnsi="Times New Roman" w:eastAsia="仿宋_GB2312" w:cs="Times New Roman"/>
          <w:color w:val="auto"/>
          <w:sz w:val="32"/>
          <w:szCs w:val="32"/>
        </w:rPr>
        <w:t>丰富群众文化生活率</w:t>
      </w:r>
      <w:r>
        <w:rPr>
          <w:rFonts w:hint="eastAsia" w:ascii="仿宋_GB2312" w:hAnsi="Times New Roman" w:eastAsia="仿宋_GB2312" w:cs="Times New Roman"/>
          <w:color w:val="auto"/>
          <w:sz w:val="32"/>
          <w:szCs w:val="32"/>
          <w:lang w:val="en-US" w:eastAsia="zh-CN"/>
        </w:rPr>
        <w:t>达到95%</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四是增强文化氛围达到95%；五是</w:t>
      </w:r>
      <w:r>
        <w:rPr>
          <w:rFonts w:hint="eastAsia" w:ascii="仿宋_GB2312" w:hAnsi="Times New Roman" w:eastAsia="仿宋_GB2312" w:cs="Times New Roman"/>
          <w:color w:val="auto"/>
          <w:sz w:val="32"/>
          <w:szCs w:val="32"/>
          <w:lang w:val="en-US" w:eastAsia="zh-CN"/>
        </w:rPr>
        <w:t>满足群众文化演出基本需求达95%</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numPr>
          <w:ilvl w:val="0"/>
          <w:numId w:val="0"/>
        </w:numPr>
        <w:spacing w:line="600" w:lineRule="exact"/>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项目支出绩效目标实现情况</w:t>
      </w:r>
    </w:p>
    <w:p>
      <w:pPr>
        <w:numPr>
          <w:ilvl w:val="0"/>
          <w:numId w:val="6"/>
        </w:numPr>
        <w:spacing w:line="600" w:lineRule="exact"/>
        <w:ind w:left="420" w:leftChars="200" w:firstLine="0" w:firstLineChars="0"/>
        <w:rPr>
          <w:rFonts w:hint="eastAsia" w:ascii="仿宋" w:hAnsi="仿宋" w:eastAsia="仿宋"/>
          <w:color w:val="auto"/>
          <w:sz w:val="32"/>
          <w:szCs w:val="32"/>
        </w:rPr>
      </w:pPr>
      <w:r>
        <w:rPr>
          <w:rFonts w:hint="eastAsia" w:ascii="仿宋" w:hAnsi="仿宋" w:eastAsia="仿宋" w:cs="仿宋"/>
          <w:color w:val="auto"/>
          <w:sz w:val="32"/>
          <w:szCs w:val="32"/>
          <w:lang w:val="en-US" w:eastAsia="zh-CN"/>
        </w:rPr>
        <w:t>通过对9个项目开展绩效自评工作，规范财政预算资金的使用，截止2024年12月31日，</w:t>
      </w:r>
      <w:r>
        <w:rPr>
          <w:rFonts w:hint="eastAsia" w:eastAsia="仿宋" w:cs="仿宋"/>
          <w:color w:val="auto"/>
          <w:sz w:val="32"/>
          <w:szCs w:val="32"/>
          <w:lang w:val="en-US" w:eastAsia="zh-CN"/>
        </w:rPr>
        <w:t>巴达乡</w:t>
      </w:r>
      <w:r>
        <w:rPr>
          <w:rFonts w:hint="eastAsia" w:ascii="仿宋" w:hAnsi="仿宋" w:eastAsia="仿宋" w:cs="仿宋"/>
          <w:color w:val="auto"/>
          <w:sz w:val="32"/>
          <w:szCs w:val="32"/>
          <w:lang w:val="en-US" w:eastAsia="zh-CN"/>
        </w:rPr>
        <w:t>项目支出绩效目标已基本完成预期目标。</w:t>
      </w:r>
    </w:p>
    <w:p>
      <w:pPr>
        <w:numPr>
          <w:ilvl w:val="0"/>
          <w:numId w:val="6"/>
        </w:numPr>
        <w:spacing w:line="600" w:lineRule="exact"/>
        <w:ind w:left="420" w:leftChars="200" w:firstLine="0" w:firstLineChars="0"/>
        <w:rPr>
          <w:rFonts w:hint="eastAsia" w:ascii="仿宋" w:hAnsi="仿宋" w:eastAsia="仿宋"/>
          <w:color w:val="auto"/>
          <w:sz w:val="32"/>
          <w:szCs w:val="32"/>
        </w:rPr>
      </w:pPr>
      <w:r>
        <w:rPr>
          <w:rFonts w:hint="eastAsia" w:ascii="仿宋" w:hAnsi="仿宋" w:eastAsia="仿宋"/>
          <w:color w:val="auto"/>
          <w:sz w:val="32"/>
          <w:szCs w:val="32"/>
        </w:rPr>
        <w:t>主要经验及做法。包括本部门（单位）加强预算绩效管理的措施及成效、开展绩效自评工作的经验、实施项目管理的经验等。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1、规范项目绩效目标编制</w:t>
      </w:r>
    </w:p>
    <w:p>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firstLine="608" w:firstLineChars="200"/>
        <w:textAlignment w:val="baseline"/>
        <w:rPr>
          <w:rFonts w:hint="eastAsia" w:ascii="仿宋" w:hAnsi="仿宋" w:eastAsia="仿宋" w:cs="仿宋"/>
          <w:snapToGrid w:val="0"/>
          <w:color w:val="auto"/>
          <w:spacing w:val="-8"/>
          <w:kern w:val="0"/>
          <w:sz w:val="32"/>
          <w:szCs w:val="32"/>
          <w:lang w:val="en-US" w:eastAsia="zh-CN"/>
        </w:rPr>
      </w:pPr>
      <w:r>
        <w:rPr>
          <w:rFonts w:hint="eastAsia" w:ascii="仿宋" w:hAnsi="仿宋" w:eastAsia="仿宋" w:cs="仿宋"/>
          <w:snapToGrid w:val="0"/>
          <w:color w:val="auto"/>
          <w:spacing w:val="-8"/>
          <w:kern w:val="0"/>
          <w:sz w:val="32"/>
          <w:szCs w:val="32"/>
          <w:lang w:val="en-US" w:eastAsia="zh-CN"/>
        </w:rPr>
        <w:t>扎实开展部门预算编制工作，严格按照“指向明确、具体细化、合理可行”的指标设置要求，合理、规范设置绩效指标，确保绩效目标合理、规范、量化细化，提高目标填报质量，强化绩效目标对预算资金的牵引作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0"/>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2、加强绩效运行监控</w:t>
      </w:r>
    </w:p>
    <w:p>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firstLine="608" w:firstLineChars="200"/>
        <w:textAlignment w:val="baseline"/>
        <w:rPr>
          <w:rFonts w:hint="eastAsia"/>
          <w:color w:val="auto"/>
          <w:sz w:val="32"/>
          <w:szCs w:val="32"/>
        </w:rPr>
      </w:pPr>
      <w:r>
        <w:rPr>
          <w:rFonts w:hint="eastAsia" w:ascii="仿宋" w:hAnsi="仿宋" w:eastAsia="仿宋" w:cs="仿宋"/>
          <w:snapToGrid w:val="0"/>
          <w:color w:val="auto"/>
          <w:spacing w:val="-8"/>
          <w:kern w:val="0"/>
          <w:sz w:val="32"/>
          <w:szCs w:val="32"/>
          <w:lang w:val="en-US" w:eastAsia="zh-CN"/>
        </w:rPr>
        <w:t>加强绩效运行监控工作，掌握了解工作开展情况，明确工作要求，及时发现项目执行过程中的问题，并进行整改调整，落实监督考核，确保项目实施效果。</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（三）存在的问题及原因分析。</w:t>
      </w:r>
    </w:p>
    <w:p>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1</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绩效目标偏离情况</w:t>
      </w:r>
    </w:p>
    <w:p>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绩效自评表绩效指标设置不完整：对项目绩效绩效目标进行检查，产出指标、效益指标、满意度指标下设三类指标不够完整。</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eastAsia="zh-CN"/>
        </w:rPr>
        <w:t>、</w:t>
      </w:r>
      <w:r>
        <w:rPr>
          <w:rFonts w:hint="eastAsia" w:ascii="仿宋" w:hAnsi="仿宋" w:eastAsia="仿宋"/>
          <w:color w:val="auto"/>
          <w:sz w:val="32"/>
          <w:szCs w:val="32"/>
        </w:rPr>
        <w:t>其他问题及原因分析</w:t>
      </w:r>
    </w:p>
    <w:p>
      <w:pPr>
        <w:pStyle w:val="20"/>
        <w:ind w:left="0" w:leftChars="0" w:firstLine="640" w:firstLineChars="200"/>
        <w:rPr>
          <w:rFonts w:hint="eastAsia" w:eastAsia="仿宋"/>
          <w:color w:val="auto"/>
          <w:sz w:val="32"/>
          <w:szCs w:val="32"/>
          <w:lang w:val="en-US" w:eastAsia="zh-CN"/>
        </w:rPr>
      </w:pPr>
      <w:r>
        <w:rPr>
          <w:rFonts w:hint="eastAsia" w:eastAsia="仿宋"/>
          <w:color w:val="auto"/>
          <w:sz w:val="32"/>
          <w:szCs w:val="32"/>
          <w:lang w:val="en-US" w:eastAsia="zh-CN"/>
        </w:rPr>
        <w:t>无。</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（四）改进措施和建议。</w:t>
      </w:r>
    </w:p>
    <w:p>
      <w:pPr>
        <w:spacing w:line="360" w:lineRule="auto"/>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加强学习，提高思想认识。组织单位财务人员认真学习《预算法》等相关法规、制度，提高单位领导与全面预算管理的重视程度，增强财务人员的预算意识。</w:t>
      </w:r>
    </w:p>
    <w:p>
      <w:pPr>
        <w:spacing w:line="360" w:lineRule="auto"/>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严格预算执行，提高资金使用效率。在执行预算管理过程中，合理、合规、合法的使用财政资金，进一步加强预算支出的审核、跟踪及预算执行情况分析。</w:t>
      </w:r>
    </w:p>
    <w:p>
      <w:pPr>
        <w:numPr>
          <w:ilvl w:val="0"/>
          <w:numId w:val="0"/>
        </w:numPr>
        <w:spacing w:line="578" w:lineRule="exact"/>
        <w:rPr>
          <w:rFonts w:hint="eastAsia"/>
          <w:color w:val="auto"/>
          <w:lang w:val="en-US"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加强财务核算工作，严格按照预算口径进行经费支出核算，确保预算口径和核算口径一致便于预算的执行和预算分析工作的开展。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262_WPSOffice_Level2"/>
      <w:bookmarkStart w:id="96" w:name="_Toc32639_WPSOffice_Level2"/>
      <w:bookmarkStart w:id="97" w:name="_Toc23598_WPSOffice_Level2"/>
      <w:bookmarkStart w:id="98" w:name="_Toc15565_WPSOffice_Level2"/>
      <w:bookmarkStart w:id="99" w:name="_Toc5978_WPSOffice_Level2"/>
      <w:bookmarkStart w:id="100" w:name="_Toc18325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西藏丁青县巴达乡人民政府</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74.34</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万元（为部门决算中行政单位和参公事业单位财政拨款基本支出中公用经费支出之和，事业单位没有机关运行经费支出），比年初预算减</w:t>
      </w:r>
      <w:r>
        <w:rPr>
          <w:rFonts w:hint="eastAsia" w:ascii="仿宋_GB2312" w:hAnsi="ˎ̥" w:eastAsia="仿宋_GB2312"/>
          <w:color w:val="auto"/>
          <w:sz w:val="32"/>
          <w:szCs w:val="32"/>
          <w:lang w:val="en-US" w:eastAsia="zh-CN"/>
        </w:rPr>
        <w:t>少37.34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完成预算的66.57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43.74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下降37.04%。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w:t>
      </w:r>
      <w:r>
        <w:rPr>
          <w:rFonts w:hint="eastAsia" w:ascii="仿宋_GB2312" w:hAnsi="ˎ̥" w:eastAsia="仿宋_GB2312"/>
          <w:color w:val="auto"/>
          <w:sz w:val="32"/>
          <w:szCs w:val="32"/>
          <w:lang w:val="en-US" w:eastAsia="zh-CN" w:bidi="ar"/>
        </w:rPr>
        <w:t>减少</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人员</w:t>
      </w:r>
      <w:r>
        <w:rPr>
          <w:rFonts w:hint="eastAsia" w:ascii="仿宋_GB2312" w:hAnsi="ˎ̥" w:eastAsia="仿宋_GB2312"/>
          <w:color w:val="auto"/>
          <w:sz w:val="32"/>
          <w:szCs w:val="32"/>
          <w:lang w:val="en-US" w:eastAsia="zh-CN" w:bidi="ar"/>
        </w:rPr>
        <w:t>调动</w:t>
      </w:r>
      <w:r>
        <w:rPr>
          <w:rFonts w:hint="eastAsia" w:ascii="仿宋_GB2312" w:hAnsi="ˎ̥" w:eastAsia="仿宋_GB2312"/>
          <w:color w:val="auto"/>
          <w:sz w:val="32"/>
          <w:szCs w:val="32"/>
          <w:lang w:bidi="ar"/>
        </w:rPr>
        <w:t>数量</w:t>
      </w:r>
      <w:r>
        <w:rPr>
          <w:rFonts w:hint="eastAsia" w:ascii="仿宋_GB2312" w:hAnsi="ˎ̥" w:eastAsia="仿宋_GB2312"/>
          <w:color w:val="auto"/>
          <w:sz w:val="32"/>
          <w:szCs w:val="32"/>
          <w:lang w:val="en-US" w:eastAsia="zh-CN" w:bidi="ar"/>
        </w:rPr>
        <w:t>增加，公用经费预算减少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13084_WPSOffice_Level2"/>
      <w:bookmarkStart w:id="102" w:name="_Toc25333_WPSOffice_Level2"/>
      <w:bookmarkStart w:id="103" w:name="_Toc3131_WPSOffice_Level2"/>
      <w:bookmarkStart w:id="104" w:name="_Toc32689_WPSOffice_Level2"/>
      <w:bookmarkStart w:id="105" w:name="_Toc23966_WPSOffice_Level2"/>
      <w:bookmarkStart w:id="106" w:name="_Toc30383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西藏丁青县巴达乡人民政府</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6016_WPSOffice_Level2"/>
      <w:bookmarkStart w:id="108" w:name="_Toc29584_WPSOffice_Level2"/>
      <w:bookmarkStart w:id="109" w:name="_Toc10902_WPSOffice_Level2"/>
      <w:bookmarkStart w:id="110" w:name="_Toc527_WPSOffice_Level2"/>
      <w:bookmarkStart w:id="111" w:name="_Toc15129_WPSOffice_Level2"/>
      <w:bookmarkStart w:id="112" w:name="_Toc19989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6294.06</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乡政府3辆通勤业务公车及徐仓寺管委会1辆通勤业务公车</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15425_WPSOffice_Level1"/>
      <w:bookmarkStart w:id="114" w:name="_Toc8874_WPSOffice_Level1"/>
      <w:bookmarkStart w:id="115" w:name="_Toc17580_WPSOffice_Level1"/>
      <w:bookmarkStart w:id="116" w:name="_Toc11039_WPSOffice_Level1"/>
      <w:bookmarkStart w:id="117" w:name="_Toc4398_WPSOffice_Level1"/>
      <w:bookmarkStart w:id="118"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454AA7C"/>
    <w:multiLevelType w:val="singleLevel"/>
    <w:tmpl w:val="D454AA7C"/>
    <w:lvl w:ilvl="0" w:tentative="0">
      <w:start w:val="1"/>
      <w:numFmt w:val="chineseCounting"/>
      <w:suff w:val="nothing"/>
      <w:lvlText w:val="%1、"/>
      <w:lvlJc w:val="left"/>
      <w:rPr>
        <w:rFonts w:hint="eastAsia"/>
      </w:rPr>
    </w:lvl>
  </w:abstractNum>
  <w:abstractNum w:abstractNumId="2">
    <w:nsid w:val="E0F038E4"/>
    <w:multiLevelType w:val="singleLevel"/>
    <w:tmpl w:val="E0F038E4"/>
    <w:lvl w:ilvl="0" w:tentative="0">
      <w:start w:val="1"/>
      <w:numFmt w:val="chineseCounting"/>
      <w:suff w:val="nothing"/>
      <w:lvlText w:val="（%1）"/>
      <w:lvlJc w:val="left"/>
      <w:rPr>
        <w:rFonts w:hint="eastAsia"/>
      </w:rPr>
    </w:lvl>
  </w:abstractNum>
  <w:abstractNum w:abstractNumId="3">
    <w:nsid w:val="11E59F6A"/>
    <w:multiLevelType w:val="singleLevel"/>
    <w:tmpl w:val="11E59F6A"/>
    <w:lvl w:ilvl="0" w:tentative="0">
      <w:start w:val="2"/>
      <w:numFmt w:val="chineseCounting"/>
      <w:suff w:val="space"/>
      <w:lvlText w:val="第%1部分"/>
      <w:lvlJc w:val="left"/>
      <w:rPr>
        <w:rFonts w:hint="eastAsia"/>
      </w:rPr>
    </w:lvl>
  </w:abstractNum>
  <w:abstractNum w:abstractNumId="4">
    <w:nsid w:val="308554A5"/>
    <w:multiLevelType w:val="singleLevel"/>
    <w:tmpl w:val="308554A5"/>
    <w:lvl w:ilvl="0" w:tentative="0">
      <w:start w:val="1"/>
      <w:numFmt w:val="chineseCounting"/>
      <w:suff w:val="nothing"/>
      <w:lvlText w:val="%1、"/>
      <w:lvlJc w:val="left"/>
      <w:rPr>
        <w:rFonts w:hint="eastAsia"/>
      </w:rPr>
    </w:lvl>
  </w:abstractNum>
  <w:abstractNum w:abstractNumId="5">
    <w:nsid w:val="6984C921"/>
    <w:multiLevelType w:val="singleLevel"/>
    <w:tmpl w:val="6984C921"/>
    <w:lvl w:ilvl="0" w:tentative="0">
      <w:start w:val="2"/>
      <w:numFmt w:val="decimal"/>
      <w:lvlText w:val="%1."/>
      <w:lvlJc w:val="left"/>
      <w:pPr>
        <w:tabs>
          <w:tab w:val="left" w:pos="312"/>
        </w:tabs>
      </w:pPr>
    </w:lvl>
  </w:abstractNum>
  <w:abstractNum w:abstractNumId="6">
    <w:nsid w:val="72109F8D"/>
    <w:multiLevelType w:val="singleLevel"/>
    <w:tmpl w:val="72109F8D"/>
    <w:lvl w:ilvl="0" w:tentative="0">
      <w:start w:val="7"/>
      <w:numFmt w:val="chineseCounting"/>
      <w:suff w:val="nothing"/>
      <w:lvlText w:val="%1、"/>
      <w:lvlJc w:val="left"/>
      <w:rPr>
        <w:rFonts w:hint="eastAsia"/>
      </w:rPr>
    </w:lvl>
  </w:abstractNum>
  <w:num w:numId="1">
    <w:abstractNumId w:val="6"/>
  </w:num>
  <w:num w:numId="2">
    <w:abstractNumId w:val="1"/>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A7AE7"/>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EF0FDA"/>
    <w:rsid w:val="09201287"/>
    <w:rsid w:val="0B0B16BC"/>
    <w:rsid w:val="0FC80124"/>
    <w:rsid w:val="10025134"/>
    <w:rsid w:val="133076AE"/>
    <w:rsid w:val="136F98C7"/>
    <w:rsid w:val="173C6074"/>
    <w:rsid w:val="17427E68"/>
    <w:rsid w:val="1755065F"/>
    <w:rsid w:val="19656D09"/>
    <w:rsid w:val="1AFC29C9"/>
    <w:rsid w:val="1C652879"/>
    <w:rsid w:val="1C9555D7"/>
    <w:rsid w:val="1CA52F2E"/>
    <w:rsid w:val="1D726FDA"/>
    <w:rsid w:val="1DFE370B"/>
    <w:rsid w:val="1E3630B9"/>
    <w:rsid w:val="20AD6C50"/>
    <w:rsid w:val="25BB3979"/>
    <w:rsid w:val="26EEC2B5"/>
    <w:rsid w:val="29472309"/>
    <w:rsid w:val="2AB156E4"/>
    <w:rsid w:val="2B406E77"/>
    <w:rsid w:val="2C2A0C43"/>
    <w:rsid w:val="2D1E73A5"/>
    <w:rsid w:val="2F9E7E3A"/>
    <w:rsid w:val="32717154"/>
    <w:rsid w:val="33117B15"/>
    <w:rsid w:val="34B63260"/>
    <w:rsid w:val="35F24778"/>
    <w:rsid w:val="37FDA7E2"/>
    <w:rsid w:val="3A314D88"/>
    <w:rsid w:val="3A746883"/>
    <w:rsid w:val="3B265A76"/>
    <w:rsid w:val="3CA15DE9"/>
    <w:rsid w:val="3F6E03D3"/>
    <w:rsid w:val="3FE61EE5"/>
    <w:rsid w:val="406508EE"/>
    <w:rsid w:val="408D6263"/>
    <w:rsid w:val="41B40CEE"/>
    <w:rsid w:val="47D116C4"/>
    <w:rsid w:val="48317291"/>
    <w:rsid w:val="485F7024"/>
    <w:rsid w:val="48E70666"/>
    <w:rsid w:val="4C6877E5"/>
    <w:rsid w:val="4D6A468D"/>
    <w:rsid w:val="4EA86137"/>
    <w:rsid w:val="56CA7FD0"/>
    <w:rsid w:val="57FA38D1"/>
    <w:rsid w:val="580C3021"/>
    <w:rsid w:val="591D14C3"/>
    <w:rsid w:val="5AD972CE"/>
    <w:rsid w:val="5AFC3D54"/>
    <w:rsid w:val="5F7D3333"/>
    <w:rsid w:val="5F802EF6"/>
    <w:rsid w:val="60200519"/>
    <w:rsid w:val="61385890"/>
    <w:rsid w:val="63B63CD2"/>
    <w:rsid w:val="640658D3"/>
    <w:rsid w:val="65E4484B"/>
    <w:rsid w:val="677F52AC"/>
    <w:rsid w:val="687436E1"/>
    <w:rsid w:val="6C450735"/>
    <w:rsid w:val="6C7C3D6E"/>
    <w:rsid w:val="6DA45C50"/>
    <w:rsid w:val="6E9A7825"/>
    <w:rsid w:val="6F670F9B"/>
    <w:rsid w:val="6F90495D"/>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Salutation"/>
    <w:basedOn w:val="1"/>
    <w:next w:val="1"/>
    <w:qFormat/>
    <w:uiPriority w:val="0"/>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 w:type="paragraph" w:customStyle="1" w:styleId="20">
    <w:name w:val="正文（缩进）"/>
    <w:basedOn w:val="1"/>
    <w:next w:val="1"/>
    <w:qFormat/>
    <w:uiPriority w:val="0"/>
    <w:pPr>
      <w:widowControl/>
      <w:ind w:firstLine="480"/>
    </w:pPr>
    <w:rPr>
      <w:rFonts w:ascii="仿宋" w:hAnsi="仿宋"/>
      <w:kern w:val="0"/>
      <w:sz w:val="28"/>
      <w:lang w:bidi="th-TH"/>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8</TotalTime>
  <ScaleCrop>false</ScaleCrop>
  <LinksUpToDate>false</LinksUpToDate>
  <CharactersWithSpaces>10608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2025-09-29T09:13:13Z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